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8756" w14:textId="42ECB5FF" w:rsidR="00370459" w:rsidRPr="00296092" w:rsidRDefault="003F10CB" w:rsidP="008614C0">
      <w:pPr>
        <w:pStyle w:val="HIFDate"/>
        <w:ind w:left="810"/>
        <w:rPr>
          <w:lang w:val="fr-FR"/>
        </w:rPr>
      </w:pPr>
      <w:r>
        <w:rPr>
          <w:lang w:val="fr-FR"/>
        </w:rPr>
        <w:t>Tableau récapitulatif budget mobilité</w:t>
      </w:r>
      <w:r w:rsidR="005821A1">
        <w:rPr>
          <w:lang w:val="fr-FR"/>
        </w:rPr>
        <w:t xml:space="preserve"> (situation du 1er janvier 202</w:t>
      </w:r>
      <w:r w:rsidR="009E0FD9">
        <w:rPr>
          <w:lang w:val="fr-FR"/>
        </w:rPr>
        <w:t>3</w:t>
      </w:r>
      <w:r w:rsidR="005821A1">
        <w:rPr>
          <w:lang w:val="fr-FR"/>
        </w:rPr>
        <w:t>)</w:t>
      </w:r>
    </w:p>
    <w:tbl>
      <w:tblPr>
        <w:tblStyle w:val="TableGrid"/>
        <w:tblW w:w="13176" w:type="dxa"/>
        <w:tblLook w:val="04A0" w:firstRow="1" w:lastRow="0" w:firstColumn="1" w:lastColumn="0" w:noHBand="0" w:noVBand="1"/>
      </w:tblPr>
      <w:tblGrid>
        <w:gridCol w:w="3771"/>
        <w:gridCol w:w="1787"/>
        <w:gridCol w:w="7618"/>
      </w:tblGrid>
      <w:tr w:rsidR="007B3ACB" w:rsidRPr="00296092" w14:paraId="2F3EB173" w14:textId="77777777" w:rsidTr="003F10CB">
        <w:tc>
          <w:tcPr>
            <w:tcW w:w="3771" w:type="dxa"/>
          </w:tcPr>
          <w:p w14:paraId="073B6039" w14:textId="77777777" w:rsidR="007B3ACB" w:rsidRPr="00296092" w:rsidRDefault="007B3ACB" w:rsidP="00B672AB">
            <w:pPr>
              <w:rPr>
                <w:b/>
                <w:lang w:val="fr-FR"/>
              </w:rPr>
            </w:pPr>
          </w:p>
        </w:tc>
        <w:tc>
          <w:tcPr>
            <w:tcW w:w="9405" w:type="dxa"/>
            <w:gridSpan w:val="2"/>
          </w:tcPr>
          <w:p w14:paraId="35D538AA" w14:textId="77777777" w:rsidR="007B3ACB" w:rsidRPr="00296092" w:rsidRDefault="007B3ACB" w:rsidP="0021017B">
            <w:pPr>
              <w:rPr>
                <w:rFonts w:ascii="HelveticaLTStd-Roman" w:hAnsi="HelveticaLTStd-Roman"/>
                <w:b/>
                <w:color w:val="000000" w:themeColor="text1"/>
                <w:lang w:val="fr-FR"/>
              </w:rPr>
            </w:pPr>
            <w:r w:rsidRPr="00296092">
              <w:rPr>
                <w:rFonts w:ascii="HelveticaLTStd-Roman" w:hAnsi="HelveticaLTStd-Roman"/>
                <w:b/>
                <w:color w:val="000000" w:themeColor="text1"/>
                <w:lang w:val="fr-FR"/>
              </w:rPr>
              <w:t>BUDGET MOBILITÉ</w:t>
            </w:r>
          </w:p>
          <w:p w14:paraId="74745DC8" w14:textId="677BF1DB" w:rsidR="007B3ACB" w:rsidRPr="00296092" w:rsidRDefault="007B3ACB" w:rsidP="0021017B">
            <w:pPr>
              <w:rPr>
                <w:rFonts w:ascii="HelveticaLTStd-Roman" w:hAnsi="HelveticaLTStd-Roman"/>
                <w:b/>
                <w:i/>
                <w:color w:val="000000" w:themeColor="text1"/>
                <w:lang w:val="fr-FR"/>
              </w:rPr>
            </w:pPr>
          </w:p>
        </w:tc>
      </w:tr>
      <w:tr w:rsidR="00835861" w:rsidRPr="00296092" w14:paraId="74694F0B" w14:textId="14DB62DA" w:rsidTr="003F10CB">
        <w:tc>
          <w:tcPr>
            <w:tcW w:w="3771" w:type="dxa"/>
          </w:tcPr>
          <w:p w14:paraId="079610CC" w14:textId="0EC51F5E" w:rsidR="00835861" w:rsidRPr="00296092" w:rsidRDefault="00835861" w:rsidP="00B672AB">
            <w:pPr>
              <w:rPr>
                <w:b/>
                <w:lang w:val="fr-FR"/>
              </w:rPr>
            </w:pPr>
            <w:r w:rsidRPr="00296092">
              <w:rPr>
                <w:b/>
                <w:lang w:val="fr-FR"/>
              </w:rPr>
              <w:t>DE QUOI S’AGIT-IL ?</w:t>
            </w:r>
          </w:p>
        </w:tc>
        <w:tc>
          <w:tcPr>
            <w:tcW w:w="9405" w:type="dxa"/>
            <w:gridSpan w:val="2"/>
          </w:tcPr>
          <w:p w14:paraId="0E665E04" w14:textId="76847EB0" w:rsidR="00835861" w:rsidRPr="00296092" w:rsidRDefault="00835861" w:rsidP="0021017B">
            <w:pPr>
              <w:rPr>
                <w:rFonts w:ascii="HelveticaLTStd-Roman" w:hAnsi="HelveticaLTStd-Roman"/>
                <w:lang w:val="fr-FR"/>
              </w:rPr>
            </w:pPr>
            <w:r w:rsidRPr="00296092">
              <w:rPr>
                <w:rFonts w:ascii="HelveticaLTStd-Roman" w:hAnsi="HelveticaLTStd-Roman"/>
                <w:lang w:val="fr-FR"/>
              </w:rPr>
              <w:t xml:space="preserve">Le budget mobilité est le </w:t>
            </w:r>
            <w:r w:rsidRPr="00296092">
              <w:rPr>
                <w:rFonts w:ascii="HelveticaLTStd-Roman" w:hAnsi="HelveticaLTStd-Roman"/>
                <w:b/>
                <w:lang w:val="fr-FR"/>
              </w:rPr>
              <w:t xml:space="preserve">montant total (total </w:t>
            </w:r>
            <w:proofErr w:type="spellStart"/>
            <w:r w:rsidRPr="00296092">
              <w:rPr>
                <w:rFonts w:ascii="HelveticaLTStd-Roman" w:hAnsi="HelveticaLTStd-Roman"/>
                <w:b/>
                <w:lang w:val="fr-FR"/>
              </w:rPr>
              <w:t>cost</w:t>
            </w:r>
            <w:proofErr w:type="spellEnd"/>
            <w:r w:rsidRPr="00296092">
              <w:rPr>
                <w:rFonts w:ascii="HelveticaLTStd-Roman" w:hAnsi="HelveticaLTStd-Roman"/>
                <w:b/>
                <w:lang w:val="fr-FR"/>
              </w:rPr>
              <w:t xml:space="preserve">) </w:t>
            </w:r>
            <w:r w:rsidRPr="00296092">
              <w:rPr>
                <w:rFonts w:ascii="HelveticaLTStd-Roman" w:hAnsi="HelveticaLTStd-Roman"/>
                <w:lang w:val="fr-FR"/>
              </w:rPr>
              <w:t xml:space="preserve">attribué en matière de mobilité à un travailleur afin de compenser le fait qu’il renonce à la voiture de société à laquelle il peut prétendre, montant qu’il </w:t>
            </w:r>
            <w:r w:rsidRPr="00296092">
              <w:rPr>
                <w:rFonts w:ascii="HelveticaLTStd-Roman" w:hAnsi="HelveticaLTStd-Roman"/>
                <w:b/>
                <w:lang w:val="fr-FR"/>
              </w:rPr>
              <w:t>peut</w:t>
            </w:r>
            <w:r w:rsidRPr="00296092">
              <w:rPr>
                <w:rFonts w:ascii="HelveticaLTStd-Roman" w:hAnsi="HelveticaLTStd-Roman"/>
                <w:lang w:val="fr-FR"/>
              </w:rPr>
              <w:t xml:space="preserve"> consacrer à un des trois piliers suivants (le travailleur choisit librement d’utiliser le ou les piliers qu’il désire) :</w:t>
            </w:r>
          </w:p>
          <w:p w14:paraId="2EEFF198" w14:textId="7DE062FF" w:rsidR="00835861" w:rsidRPr="008748AC" w:rsidRDefault="00835861" w:rsidP="004C398E">
            <w:pPr>
              <w:pStyle w:val="ListParagraph"/>
              <w:numPr>
                <w:ilvl w:val="0"/>
                <w:numId w:val="26"/>
              </w:numPr>
              <w:rPr>
                <w:rFonts w:ascii="HelveticaLTStd-Roman" w:hAnsi="HelveticaLTStd-Roman"/>
                <w:lang w:val="fr-FR"/>
              </w:rPr>
            </w:pPr>
            <w:r w:rsidRPr="00296092">
              <w:rPr>
                <w:rFonts w:ascii="HelveticaLTStd-Roman" w:hAnsi="HelveticaLTStd-Roman"/>
                <w:b/>
                <w:u w:val="single"/>
                <w:lang w:val="fr-FR"/>
              </w:rPr>
              <w:t>Pilier 1</w:t>
            </w:r>
            <w:r w:rsidRPr="00296092">
              <w:rPr>
                <w:rFonts w:ascii="HelveticaLTStd-Roman" w:hAnsi="HelveticaLTStd-Roman"/>
                <w:b/>
                <w:lang w:val="fr-FR"/>
              </w:rPr>
              <w:t xml:space="preserve"> : une voiture de société respectueuse de l’environnement ; </w:t>
            </w:r>
            <w:r w:rsidRPr="008748AC">
              <w:rPr>
                <w:rFonts w:ascii="HelveticaLTStd-Roman" w:hAnsi="HelveticaLTStd-Roman"/>
                <w:lang w:val="fr-FR"/>
              </w:rPr>
              <w:t>autrement dit :</w:t>
            </w:r>
          </w:p>
          <w:p w14:paraId="4A93B8CF" w14:textId="36FCEC6B" w:rsidR="00835861" w:rsidRPr="00296092" w:rsidRDefault="00634522" w:rsidP="00CD5528">
            <w:pPr>
              <w:pStyle w:val="ListParagraph"/>
              <w:numPr>
                <w:ilvl w:val="0"/>
                <w:numId w:val="29"/>
              </w:numPr>
              <w:rPr>
                <w:rFonts w:ascii="HelveticaLTStd-Roman" w:hAnsi="HelveticaLTStd-Roman"/>
                <w:b/>
                <w:lang w:val="fr-FR"/>
              </w:rPr>
            </w:pPr>
            <w:r>
              <w:rPr>
                <w:rFonts w:ascii="HelveticaLTStd-Roman" w:hAnsi="HelveticaLTStd-Roman"/>
                <w:lang w:val="fr-FR"/>
              </w:rPr>
              <w:t>S</w:t>
            </w:r>
            <w:r w:rsidR="00835861" w:rsidRPr="00296092">
              <w:rPr>
                <w:rFonts w:ascii="HelveticaLTStd-Roman" w:hAnsi="HelveticaLTStd-Roman"/>
                <w:lang w:val="fr-FR"/>
              </w:rPr>
              <w:t>oit une voiture électrique</w:t>
            </w:r>
          </w:p>
          <w:p w14:paraId="2DB51403" w14:textId="20069BA4" w:rsidR="00835861" w:rsidRPr="007B3ACB" w:rsidRDefault="00634522" w:rsidP="00CD5528">
            <w:pPr>
              <w:pStyle w:val="ListParagraph"/>
              <w:numPr>
                <w:ilvl w:val="0"/>
                <w:numId w:val="29"/>
              </w:numPr>
              <w:rPr>
                <w:rFonts w:ascii="HelveticaLTStd-Roman" w:hAnsi="HelveticaLTStd-Roman"/>
                <w:b/>
                <w:lang w:val="fr-FR"/>
              </w:rPr>
            </w:pPr>
            <w:r>
              <w:rPr>
                <w:rFonts w:ascii="HelveticaLTStd-Roman" w:hAnsi="HelveticaLTStd-Roman"/>
                <w:lang w:val="fr-FR"/>
              </w:rPr>
              <w:t>S</w:t>
            </w:r>
            <w:r w:rsidR="00835861" w:rsidRPr="00296092">
              <w:rPr>
                <w:rFonts w:ascii="HelveticaLTStd-Roman" w:hAnsi="HelveticaLTStd-Roman"/>
                <w:lang w:val="fr-FR"/>
              </w:rPr>
              <w:t xml:space="preserve">oit une voiture qui </w:t>
            </w:r>
            <w:r w:rsidR="00835861">
              <w:rPr>
                <w:rFonts w:ascii="HelveticaLTStd-Roman" w:hAnsi="HelveticaLTStd-Roman"/>
                <w:lang w:val="fr-FR"/>
              </w:rPr>
              <w:t>remplit les conditions cumulatives suivantes</w:t>
            </w:r>
            <w:r w:rsidR="009643E2">
              <w:rPr>
                <w:rStyle w:val="FootnoteReference"/>
                <w:rFonts w:ascii="HelveticaLTStd-Roman" w:hAnsi="HelveticaLTStd-Roman"/>
                <w:lang w:val="fr-FR"/>
              </w:rPr>
              <w:footnoteReference w:id="2"/>
            </w:r>
            <w:r w:rsidR="00835861">
              <w:rPr>
                <w:rFonts w:ascii="HelveticaLTStd-Roman" w:hAnsi="HelveticaLTStd-Roman"/>
                <w:lang w:val="fr-FR"/>
              </w:rPr>
              <w:t> :</w:t>
            </w:r>
          </w:p>
          <w:p w14:paraId="257D94C0" w14:textId="53C76112" w:rsidR="00835861" w:rsidRPr="007B3ACB" w:rsidRDefault="00F06503" w:rsidP="007B3ACB">
            <w:pPr>
              <w:pStyle w:val="ListParagraph"/>
              <w:numPr>
                <w:ilvl w:val="1"/>
                <w:numId w:val="29"/>
              </w:numPr>
              <w:rPr>
                <w:rFonts w:ascii="HelveticaLTStd-Roman" w:hAnsi="HelveticaLTStd-Roman"/>
                <w:b/>
                <w:lang w:val="fr-FR"/>
              </w:rPr>
            </w:pPr>
            <w:r>
              <w:rPr>
                <w:rFonts w:ascii="HelveticaLTStd-Roman" w:hAnsi="HelveticaLTStd-Roman"/>
                <w:lang w:val="fr-FR"/>
              </w:rPr>
              <w:t>U</w:t>
            </w:r>
            <w:r w:rsidR="00835861" w:rsidRPr="00296092">
              <w:rPr>
                <w:rFonts w:ascii="HelveticaLTStd-Roman" w:hAnsi="HelveticaLTStd-Roman"/>
                <w:lang w:val="fr-FR"/>
              </w:rPr>
              <w:t>ne émission maximale de CO</w:t>
            </w:r>
            <w:r w:rsidR="00835861" w:rsidRPr="00296092">
              <w:rPr>
                <w:rFonts w:ascii="HelveticaLTStd-Roman" w:hAnsi="HelveticaLTStd-Roman"/>
                <w:vertAlign w:val="subscript"/>
                <w:lang w:val="fr-FR"/>
              </w:rPr>
              <w:t>2</w:t>
            </w:r>
            <w:r w:rsidR="00835861" w:rsidRPr="00296092">
              <w:rPr>
                <w:rFonts w:ascii="HelveticaLTStd-Roman" w:hAnsi="HelveticaLTStd-Roman"/>
                <w:lang w:val="fr-FR"/>
              </w:rPr>
              <w:t xml:space="preserve"> de </w:t>
            </w:r>
            <w:r w:rsidR="003B52ED">
              <w:rPr>
                <w:rFonts w:ascii="HelveticaLTStd-Roman" w:hAnsi="HelveticaLTStd-Roman"/>
                <w:lang w:val="fr-FR"/>
              </w:rPr>
              <w:t>95</w:t>
            </w:r>
            <w:r w:rsidR="00835861" w:rsidRPr="00296092">
              <w:rPr>
                <w:rFonts w:ascii="HelveticaLTStd-Roman" w:hAnsi="HelveticaLTStd-Roman"/>
                <w:lang w:val="fr-FR"/>
              </w:rPr>
              <w:t> g</w:t>
            </w:r>
            <w:r w:rsidR="00835861">
              <w:rPr>
                <w:rFonts w:ascii="HelveticaLTStd-Roman" w:hAnsi="HelveticaLTStd-Roman"/>
                <w:lang w:val="fr-FR"/>
              </w:rPr>
              <w:t>/km</w:t>
            </w:r>
            <w:r w:rsidR="00835861">
              <w:rPr>
                <w:rStyle w:val="FootnoteReference"/>
                <w:rFonts w:ascii="HelveticaLTStd-Roman" w:hAnsi="HelveticaLTStd-Roman"/>
                <w:lang w:val="fr-FR"/>
              </w:rPr>
              <w:footnoteReference w:id="3"/>
            </w:r>
          </w:p>
          <w:p w14:paraId="591DB5C1" w14:textId="18581869" w:rsidR="00835861" w:rsidRPr="007B3ACB" w:rsidRDefault="00F06503" w:rsidP="007B3ACB">
            <w:pPr>
              <w:pStyle w:val="ListParagraph"/>
              <w:numPr>
                <w:ilvl w:val="1"/>
                <w:numId w:val="29"/>
              </w:numPr>
              <w:rPr>
                <w:rFonts w:ascii="HelveticaLTStd-Roman" w:hAnsi="HelveticaLTStd-Roman"/>
                <w:b/>
                <w:lang w:val="fr-FR"/>
              </w:rPr>
            </w:pPr>
            <w:r>
              <w:rPr>
                <w:rFonts w:ascii="HelveticaLTStd-Roman" w:hAnsi="HelveticaLTStd-Roman"/>
                <w:lang w:val="fr-FR"/>
              </w:rPr>
              <w:t>U</w:t>
            </w:r>
            <w:r w:rsidR="00835861" w:rsidRPr="00632E67">
              <w:rPr>
                <w:rFonts w:ascii="HelveticaLTStd-Roman" w:hAnsi="HelveticaLTStd-Roman"/>
                <w:lang w:val="fr-FR"/>
              </w:rPr>
              <w:t>ne norme d'émission pour les polluants atmosphériques qui correspond au moins à la norme applicable aux véhicules neufs ou à une norme ultérieure</w:t>
            </w:r>
          </w:p>
          <w:p w14:paraId="35AA45FB" w14:textId="06AD44B2" w:rsidR="00835861" w:rsidRDefault="00835861" w:rsidP="007B3ACB">
            <w:pPr>
              <w:pStyle w:val="ListParagraph"/>
              <w:numPr>
                <w:ilvl w:val="1"/>
                <w:numId w:val="29"/>
              </w:numPr>
              <w:rPr>
                <w:rFonts w:ascii="HelveticaLTStd-Roman" w:hAnsi="HelveticaLTStd-Roman"/>
                <w:lang w:val="fr-FR"/>
              </w:rPr>
            </w:pPr>
            <w:r w:rsidRPr="007B3ACB">
              <w:rPr>
                <w:rFonts w:ascii="HelveticaLTStd-Roman" w:hAnsi="HelveticaLTStd-Roman"/>
                <w:lang w:val="fr-FR"/>
              </w:rPr>
              <w:t>Dans le cas d'un véhicule hybride rechargeable, la batterie électrique ne peut avoir une capacité énergétique inférieure à 0,5 kWh par 100 kilogrammes du poids de la voiture</w:t>
            </w:r>
          </w:p>
          <w:p w14:paraId="6D31B5BA" w14:textId="40311E41" w:rsidR="00835861" w:rsidRPr="006E2F46" w:rsidRDefault="00835861" w:rsidP="007124CD">
            <w:pPr>
              <w:pStyle w:val="ListParagraph"/>
              <w:numPr>
                <w:ilvl w:val="1"/>
                <w:numId w:val="29"/>
              </w:numPr>
              <w:spacing w:after="0"/>
              <w:rPr>
                <w:rFonts w:ascii="HelveticaLTStd-Roman" w:hAnsi="HelveticaLTStd-Roman"/>
                <w:lang w:val="fr-FR"/>
              </w:rPr>
            </w:pPr>
            <w:r w:rsidRPr="006E2F46">
              <w:rPr>
                <w:rFonts w:ascii="HelveticaLTStd-Roman" w:hAnsi="HelveticaLTStd-Roman"/>
                <w:lang w:val="fr-FR"/>
              </w:rPr>
              <w:t>Le cas échéant, la valeur visée aux 1), 2) et 3) est au moins égale à celle du véhicu</w:t>
            </w:r>
            <w:r>
              <w:rPr>
                <w:rFonts w:ascii="HelveticaLTStd-Roman" w:hAnsi="HelveticaLTStd-Roman"/>
                <w:lang w:val="fr-FR"/>
              </w:rPr>
              <w:t>le dont le travailleur disposait</w:t>
            </w:r>
          </w:p>
          <w:p w14:paraId="3840528E" w14:textId="77777777" w:rsidR="00835861" w:rsidRPr="00632E67" w:rsidRDefault="00835861" w:rsidP="007124CD">
            <w:pPr>
              <w:spacing w:after="0"/>
              <w:rPr>
                <w:b/>
                <w:lang w:val="fr-FR"/>
              </w:rPr>
            </w:pPr>
          </w:p>
          <w:p w14:paraId="14947E03" w14:textId="77777777" w:rsidR="00835861" w:rsidRPr="00296092" w:rsidRDefault="00835861" w:rsidP="004C398E">
            <w:pPr>
              <w:pStyle w:val="ListParagraph"/>
              <w:numPr>
                <w:ilvl w:val="0"/>
                <w:numId w:val="26"/>
              </w:numPr>
              <w:rPr>
                <w:rFonts w:ascii="HelveticaLTStd-Roman" w:hAnsi="HelveticaLTStd-Roman"/>
                <w:lang w:val="fr-FR"/>
              </w:rPr>
            </w:pPr>
            <w:r w:rsidRPr="00296092">
              <w:rPr>
                <w:rFonts w:ascii="HelveticaLTStd-Roman" w:hAnsi="HelveticaLTStd-Roman"/>
                <w:b/>
                <w:u w:val="single"/>
                <w:lang w:val="fr-FR"/>
              </w:rPr>
              <w:t>Pilier 2</w:t>
            </w:r>
            <w:r w:rsidRPr="00296092">
              <w:rPr>
                <w:rFonts w:ascii="HelveticaLTStd-Roman" w:hAnsi="HelveticaLTStd-Roman"/>
                <w:b/>
                <w:lang w:val="fr-FR"/>
              </w:rPr>
              <w:t> : « des modes de transport alternatifs et durables »</w:t>
            </w:r>
            <w:r w:rsidRPr="00296092">
              <w:rPr>
                <w:rFonts w:ascii="HelveticaLTStd-Roman" w:hAnsi="HelveticaLTStd-Roman"/>
                <w:lang w:val="fr-FR"/>
              </w:rPr>
              <w:t xml:space="preserve"> subdivisés en :</w:t>
            </w:r>
          </w:p>
          <w:p w14:paraId="33C11C1A" w14:textId="5A39C861" w:rsidR="00835861" w:rsidRPr="00296092" w:rsidRDefault="006C5055" w:rsidP="002047C7">
            <w:pPr>
              <w:pStyle w:val="ListParagraph"/>
              <w:numPr>
                <w:ilvl w:val="1"/>
                <w:numId w:val="26"/>
              </w:numPr>
              <w:rPr>
                <w:rFonts w:ascii="HelveticaLTStd-Roman" w:hAnsi="HelveticaLTStd-Roman"/>
                <w:lang w:val="fr-FR"/>
              </w:rPr>
            </w:pPr>
            <w:r>
              <w:rPr>
                <w:rFonts w:ascii="HelveticaLTStd-Roman" w:hAnsi="HelveticaLTStd-Roman"/>
                <w:lang w:val="fr-FR"/>
              </w:rPr>
              <w:t>M</w:t>
            </w:r>
            <w:r w:rsidR="00835861" w:rsidRPr="00296092">
              <w:rPr>
                <w:rFonts w:ascii="HelveticaLTStd-Roman" w:hAnsi="HelveticaLTStd-Roman"/>
                <w:lang w:val="fr-FR"/>
              </w:rPr>
              <w:t>obilité douce (tous les cycles roulant à moins de 45 km/heure, y compris les trottinettes, les monocycles, les cycles motorisés, les vélomoteurs et les motocyclettes à propulsion exclusivement électrique</w:t>
            </w:r>
            <w:r w:rsidR="00B238C8" w:rsidRPr="00B238C8">
              <w:rPr>
                <w:rFonts w:ascii="HelveticaLTStd-Roman" w:hAnsi="HelveticaLTStd-Roman"/>
                <w:lang w:val="fr-FR"/>
              </w:rPr>
              <w:t>,</w:t>
            </w:r>
            <w:r w:rsidR="00B238C8" w:rsidRPr="007124CD">
              <w:rPr>
                <w:rFonts w:cs="Arial"/>
                <w:lang w:val="fr-FR"/>
              </w:rPr>
              <w:t xml:space="preserve"> les tricycles et quadricycles propulsés de façon électrique</w:t>
            </w:r>
            <w:r w:rsidR="00835861" w:rsidRPr="00296092">
              <w:rPr>
                <w:rFonts w:ascii="HelveticaLTStd-Roman" w:hAnsi="HelveticaLTStd-Roman"/>
                <w:lang w:val="fr-FR"/>
              </w:rPr>
              <w:t>) </w:t>
            </w:r>
          </w:p>
          <w:p w14:paraId="0C553DF0" w14:textId="57FB52DA" w:rsidR="00835861" w:rsidRPr="00296092" w:rsidRDefault="006C5055" w:rsidP="002047C7">
            <w:pPr>
              <w:pStyle w:val="ListParagraph"/>
              <w:numPr>
                <w:ilvl w:val="1"/>
                <w:numId w:val="26"/>
              </w:numPr>
              <w:rPr>
                <w:rFonts w:ascii="HelveticaLTStd-Roman" w:hAnsi="HelveticaLTStd-Roman"/>
                <w:lang w:val="fr-FR"/>
              </w:rPr>
            </w:pPr>
            <w:r>
              <w:rPr>
                <w:rFonts w:ascii="HelveticaLTStd-Roman" w:hAnsi="HelveticaLTStd-Roman"/>
                <w:lang w:val="fr-FR"/>
              </w:rPr>
              <w:t>T</w:t>
            </w:r>
            <w:r w:rsidR="00835861" w:rsidRPr="00296092">
              <w:rPr>
                <w:rFonts w:ascii="HelveticaLTStd-Roman" w:hAnsi="HelveticaLTStd-Roman"/>
                <w:lang w:val="fr-FR"/>
              </w:rPr>
              <w:t>ransports publics (abonnements pour les déplacements domicile-lieu de travail au nom du travailleur</w:t>
            </w:r>
            <w:r w:rsidR="00E001BE">
              <w:rPr>
                <w:rFonts w:ascii="HelveticaLTStd-Roman" w:hAnsi="HelveticaLTStd-Roman"/>
                <w:lang w:val="fr-FR"/>
              </w:rPr>
              <w:t xml:space="preserve"> et les membres de la famille vivant sous le même to</w:t>
            </w:r>
            <w:r w:rsidR="00EC3ADF">
              <w:rPr>
                <w:rFonts w:ascii="HelveticaLTStd-Roman" w:hAnsi="HelveticaLTStd-Roman"/>
                <w:lang w:val="fr-FR"/>
              </w:rPr>
              <w:t>i</w:t>
            </w:r>
            <w:r w:rsidR="00E001BE">
              <w:rPr>
                <w:rFonts w:ascii="HelveticaLTStd-Roman" w:hAnsi="HelveticaLTStd-Roman"/>
                <w:lang w:val="fr-FR"/>
              </w:rPr>
              <w:t>t</w:t>
            </w:r>
            <w:r w:rsidR="00835861" w:rsidRPr="00296092">
              <w:rPr>
                <w:rFonts w:ascii="HelveticaLTStd-Roman" w:hAnsi="HelveticaLTStd-Roman"/>
                <w:lang w:val="fr-FR"/>
              </w:rPr>
              <w:t>, tickets et titres de transport individuels</w:t>
            </w:r>
            <w:r w:rsidR="004A662C">
              <w:rPr>
                <w:rFonts w:ascii="HelveticaLTStd-Roman" w:hAnsi="HelveticaLTStd-Roman"/>
                <w:lang w:val="fr-FR"/>
              </w:rPr>
              <w:t xml:space="preserve"> et frais de parking liés à l’utilisation de ces transports</w:t>
            </w:r>
            <w:r w:rsidR="00835861" w:rsidRPr="00296092">
              <w:rPr>
                <w:rFonts w:ascii="HelveticaLTStd-Roman" w:hAnsi="HelveticaLTStd-Roman"/>
                <w:lang w:val="fr-FR"/>
              </w:rPr>
              <w:t>) </w:t>
            </w:r>
          </w:p>
          <w:p w14:paraId="51143028" w14:textId="0AFEF4C3" w:rsidR="00835861" w:rsidRPr="00296092" w:rsidRDefault="006C5055" w:rsidP="002047C7">
            <w:pPr>
              <w:pStyle w:val="ListParagraph"/>
              <w:numPr>
                <w:ilvl w:val="1"/>
                <w:numId w:val="26"/>
              </w:numPr>
              <w:rPr>
                <w:rFonts w:ascii="HelveticaLTStd-Roman" w:hAnsi="HelveticaLTStd-Roman"/>
                <w:lang w:val="fr-FR"/>
              </w:rPr>
            </w:pPr>
            <w:r>
              <w:rPr>
                <w:rFonts w:ascii="HelveticaLTStd-Roman" w:hAnsi="HelveticaLTStd-Roman"/>
                <w:lang w:val="fr-FR"/>
              </w:rPr>
              <w:t>T</w:t>
            </w:r>
            <w:r w:rsidR="00835861" w:rsidRPr="00296092">
              <w:rPr>
                <w:rFonts w:ascii="HelveticaLTStd-Roman" w:hAnsi="HelveticaLTStd-Roman"/>
                <w:lang w:val="fr-FR"/>
              </w:rPr>
              <w:t>ransport collectif organisé </w:t>
            </w:r>
          </w:p>
          <w:p w14:paraId="1C90EE9F" w14:textId="1CC10D2D" w:rsidR="00835861" w:rsidRDefault="006C5055" w:rsidP="002047C7">
            <w:pPr>
              <w:pStyle w:val="ListParagraph"/>
              <w:numPr>
                <w:ilvl w:val="1"/>
                <w:numId w:val="26"/>
              </w:numPr>
              <w:rPr>
                <w:rFonts w:ascii="HelveticaLTStd-Roman" w:hAnsi="HelveticaLTStd-Roman"/>
                <w:lang w:val="fr-FR"/>
              </w:rPr>
            </w:pPr>
            <w:r>
              <w:rPr>
                <w:rFonts w:ascii="HelveticaLTStd-Roman" w:hAnsi="HelveticaLTStd-Roman"/>
                <w:lang w:val="fr-FR"/>
              </w:rPr>
              <w:t>S</w:t>
            </w:r>
            <w:r w:rsidR="00835861" w:rsidRPr="00296092">
              <w:rPr>
                <w:rFonts w:ascii="HelveticaLTStd-Roman" w:hAnsi="HelveticaLTStd-Roman"/>
                <w:lang w:val="fr-FR"/>
              </w:rPr>
              <w:t>olutions de partage (voiture partagée, vélo partagé, usage de taxis et location de voitures avec chauffeur…)</w:t>
            </w:r>
          </w:p>
          <w:p w14:paraId="09BC44FB" w14:textId="21DB2A91" w:rsidR="001E34B5" w:rsidRPr="00296092" w:rsidRDefault="006C5055" w:rsidP="002047C7">
            <w:pPr>
              <w:pStyle w:val="ListParagraph"/>
              <w:numPr>
                <w:ilvl w:val="1"/>
                <w:numId w:val="26"/>
              </w:numPr>
              <w:rPr>
                <w:rFonts w:ascii="HelveticaLTStd-Roman" w:hAnsi="HelveticaLTStd-Roman"/>
                <w:lang w:val="fr-FR"/>
              </w:rPr>
            </w:pPr>
            <w:r>
              <w:rPr>
                <w:lang w:val="fr-FR" w:eastAsia="nl-BE"/>
              </w:rPr>
              <w:t>P</w:t>
            </w:r>
            <w:r w:rsidR="001E34B5">
              <w:rPr>
                <w:lang w:val="fr-FR" w:eastAsia="nl-BE"/>
              </w:rPr>
              <w:t>rime aux piétons pour les déplacements domicile-lieu de travail</w:t>
            </w:r>
          </w:p>
          <w:p w14:paraId="2FAD3BA3" w14:textId="6FFCC4FB" w:rsidR="00835861" w:rsidRPr="00296092" w:rsidRDefault="00835861" w:rsidP="002047C7">
            <w:pPr>
              <w:pStyle w:val="ListParagraph"/>
              <w:ind w:left="1440"/>
              <w:rPr>
                <w:rFonts w:ascii="HelveticaLTStd-Roman" w:hAnsi="HelveticaLTStd-Roman"/>
                <w:lang w:val="fr-FR"/>
              </w:rPr>
            </w:pPr>
            <w:r w:rsidRPr="007124CD">
              <w:rPr>
                <w:rFonts w:ascii="HelveticaLTStd-Roman" w:hAnsi="HelveticaLTStd-Roman"/>
                <w:b/>
                <w:lang w:val="fr-FR"/>
              </w:rPr>
              <w:t>Certains frais de logement</w:t>
            </w:r>
            <w:r w:rsidRPr="00296092">
              <w:rPr>
                <w:rFonts w:ascii="HelveticaLTStd-Roman" w:hAnsi="HelveticaLTStd-Roman"/>
                <w:lang w:val="fr-FR"/>
              </w:rPr>
              <w:t xml:space="preserve"> (loyers et intérêts sur emprunt hypothécaire</w:t>
            </w:r>
            <w:r w:rsidR="00634522">
              <w:rPr>
                <w:rFonts w:ascii="HelveticaLTStd-Roman" w:hAnsi="HelveticaLTStd-Roman"/>
                <w:lang w:val="fr-FR"/>
              </w:rPr>
              <w:t xml:space="preserve"> et remboursement du capital de ces emprunts</w:t>
            </w:r>
            <w:r w:rsidRPr="00296092">
              <w:rPr>
                <w:rFonts w:ascii="HelveticaLTStd-Roman" w:hAnsi="HelveticaLTStd-Roman"/>
                <w:lang w:val="fr-FR"/>
              </w:rPr>
              <w:t xml:space="preserve">) afférents à une habitation située à proximité du lieu de travail habituel (dans un rayon de </w:t>
            </w:r>
            <w:r w:rsidR="004A662C">
              <w:rPr>
                <w:rFonts w:ascii="HelveticaLTStd-Roman" w:hAnsi="HelveticaLTStd-Roman"/>
                <w:lang w:val="fr-FR"/>
              </w:rPr>
              <w:t>10</w:t>
            </w:r>
            <w:r w:rsidRPr="00296092">
              <w:rPr>
                <w:rFonts w:ascii="HelveticaLTStd-Roman" w:hAnsi="HelveticaLTStd-Roman"/>
                <w:lang w:val="fr-FR"/>
              </w:rPr>
              <w:t> km à vol d’oiseau) y sont assimilés.</w:t>
            </w:r>
          </w:p>
          <w:p w14:paraId="612FA43C" w14:textId="77777777" w:rsidR="00835861" w:rsidRPr="00296092" w:rsidRDefault="00835861" w:rsidP="002047C7">
            <w:pPr>
              <w:pStyle w:val="ListParagraph"/>
              <w:ind w:left="1440"/>
              <w:rPr>
                <w:rFonts w:ascii="HelveticaLTStd-Roman" w:hAnsi="HelveticaLTStd-Roman"/>
                <w:lang w:val="fr-FR"/>
              </w:rPr>
            </w:pPr>
          </w:p>
          <w:p w14:paraId="2B5DD999" w14:textId="5C365519" w:rsidR="00835861" w:rsidRPr="00296092" w:rsidRDefault="00835861" w:rsidP="007124CD">
            <w:pPr>
              <w:pStyle w:val="ListParagraph"/>
              <w:numPr>
                <w:ilvl w:val="0"/>
                <w:numId w:val="26"/>
              </w:numPr>
              <w:rPr>
                <w:rFonts w:ascii="HelveticaLTStd-Roman" w:hAnsi="HelveticaLTStd-Roman"/>
                <w:lang w:val="fr-FR"/>
              </w:rPr>
            </w:pPr>
            <w:r w:rsidRPr="00296092">
              <w:rPr>
                <w:rFonts w:ascii="HelveticaLTStd-Roman" w:hAnsi="HelveticaLTStd-Roman"/>
                <w:b/>
                <w:u w:val="single"/>
                <w:lang w:val="fr-FR"/>
              </w:rPr>
              <w:t>Pilier 3</w:t>
            </w:r>
            <w:r w:rsidRPr="00296092">
              <w:rPr>
                <w:rFonts w:ascii="HelveticaLTStd-Roman" w:hAnsi="HelveticaLTStd-Roman"/>
                <w:b/>
                <w:lang w:val="fr-FR"/>
              </w:rPr>
              <w:t> : le solde</w:t>
            </w:r>
            <w:r w:rsidRPr="00296092">
              <w:rPr>
                <w:rFonts w:ascii="HelveticaLTStd-Roman" w:hAnsi="HelveticaLTStd-Roman"/>
                <w:lang w:val="fr-FR"/>
              </w:rPr>
              <w:t xml:space="preserve"> qui sera versé </w:t>
            </w:r>
            <w:r w:rsidRPr="00296092">
              <w:rPr>
                <w:rFonts w:ascii="HelveticaLTStd-Roman" w:hAnsi="HelveticaLTStd-Roman"/>
                <w:b/>
                <w:u w:val="single"/>
                <w:lang w:val="fr-FR"/>
              </w:rPr>
              <w:t>une fois par an</w:t>
            </w:r>
            <w:r w:rsidRPr="007B3ACB">
              <w:rPr>
                <w:rFonts w:ascii="HelveticaLTStd-Roman" w:hAnsi="HelveticaLTStd-Roman"/>
                <w:b/>
                <w:lang w:val="fr-FR"/>
              </w:rPr>
              <w:t xml:space="preserve"> </w:t>
            </w:r>
            <w:r w:rsidRPr="00296092">
              <w:rPr>
                <w:rFonts w:ascii="HelveticaLTStd-Roman" w:hAnsi="HelveticaLTStd-Roman"/>
                <w:b/>
                <w:lang w:val="fr-FR"/>
              </w:rPr>
              <w:t>en espèces</w:t>
            </w:r>
            <w:r w:rsidRPr="00296092">
              <w:rPr>
                <w:rFonts w:ascii="HelveticaLTStd-Roman" w:hAnsi="HelveticaLTStd-Roman"/>
                <w:lang w:val="fr-FR"/>
              </w:rPr>
              <w:t>.</w:t>
            </w:r>
            <w:r w:rsidR="00634522">
              <w:rPr>
                <w:rFonts w:ascii="HelveticaLTStd-Roman" w:hAnsi="HelveticaLTStd-Roman"/>
                <w:lang w:val="fr-FR"/>
              </w:rPr>
              <w:t xml:space="preserve"> </w:t>
            </w:r>
          </w:p>
        </w:tc>
      </w:tr>
      <w:tr w:rsidR="00835861" w:rsidRPr="00296092" w14:paraId="6DA82591" w14:textId="77777777" w:rsidTr="003F10CB">
        <w:tc>
          <w:tcPr>
            <w:tcW w:w="3771" w:type="dxa"/>
          </w:tcPr>
          <w:p w14:paraId="4201F38B" w14:textId="63E86CF9" w:rsidR="00835861" w:rsidRPr="00296092" w:rsidRDefault="00835861" w:rsidP="009702AD">
            <w:pPr>
              <w:rPr>
                <w:b/>
                <w:lang w:val="fr-FR"/>
              </w:rPr>
            </w:pPr>
            <w:r w:rsidRPr="00296092">
              <w:rPr>
                <w:b/>
                <w:lang w:val="fr-FR"/>
              </w:rPr>
              <w:t>OBJECTIF</w:t>
            </w:r>
          </w:p>
        </w:tc>
        <w:tc>
          <w:tcPr>
            <w:tcW w:w="9405" w:type="dxa"/>
            <w:gridSpan w:val="2"/>
          </w:tcPr>
          <w:p w14:paraId="077D5164" w14:textId="45208D47" w:rsidR="00835861" w:rsidRPr="00296092" w:rsidRDefault="00835861" w:rsidP="00BC62DE">
            <w:pPr>
              <w:rPr>
                <w:lang w:val="fr-FR"/>
              </w:rPr>
            </w:pPr>
            <w:r w:rsidRPr="00296092">
              <w:rPr>
                <w:lang w:val="fr-FR"/>
              </w:rPr>
              <w:t>Multimodalité (usage successif de différents modes de transport pour les déplacements domicile-lieu de travail). La voiture de société peut faire partie de ces modes de transport).</w:t>
            </w:r>
          </w:p>
        </w:tc>
      </w:tr>
      <w:tr w:rsidR="00835861" w:rsidRPr="00296092" w14:paraId="17F8B9CE" w14:textId="77777777" w:rsidTr="003F10CB">
        <w:tc>
          <w:tcPr>
            <w:tcW w:w="3771" w:type="dxa"/>
          </w:tcPr>
          <w:p w14:paraId="1EC1767F" w14:textId="6280E22B" w:rsidR="00835861" w:rsidRPr="00296092" w:rsidRDefault="00835861" w:rsidP="00C05E3F">
            <w:pPr>
              <w:rPr>
                <w:b/>
                <w:lang w:val="fr-FR"/>
              </w:rPr>
            </w:pPr>
            <w:r w:rsidRPr="00296092">
              <w:rPr>
                <w:b/>
                <w:lang w:val="fr-FR"/>
              </w:rPr>
              <w:t>POUR QUI ?</w:t>
            </w:r>
          </w:p>
        </w:tc>
        <w:tc>
          <w:tcPr>
            <w:tcW w:w="9405" w:type="dxa"/>
            <w:gridSpan w:val="2"/>
          </w:tcPr>
          <w:p w14:paraId="3A2760D6" w14:textId="77777777" w:rsidR="00835861" w:rsidRPr="00296092" w:rsidRDefault="00835861" w:rsidP="00C05E3F">
            <w:pPr>
              <w:rPr>
                <w:lang w:val="fr-FR"/>
              </w:rPr>
            </w:pPr>
            <w:r w:rsidRPr="00296092">
              <w:rPr>
                <w:lang w:val="fr-FR"/>
              </w:rPr>
              <w:t>Pour les travailleurs et les personnes qui y sont assimilées</w:t>
            </w:r>
          </w:p>
          <w:p w14:paraId="13BACEF5" w14:textId="77777777" w:rsidR="00835861" w:rsidRPr="00C17212" w:rsidRDefault="00835861" w:rsidP="00C17212">
            <w:pPr>
              <w:spacing w:after="0"/>
              <w:rPr>
                <w:lang w:val="fr-FR"/>
              </w:rPr>
            </w:pPr>
            <w:r w:rsidRPr="00296092">
              <w:rPr>
                <w:lang w:val="fr-FR"/>
              </w:rPr>
              <w:t xml:space="preserve">Ces travailleurs doivent </w:t>
            </w:r>
            <w:r w:rsidRPr="00C17212">
              <w:rPr>
                <w:lang w:val="fr-FR"/>
              </w:rPr>
              <w:t>:</w:t>
            </w:r>
          </w:p>
          <w:p w14:paraId="00A23EFC" w14:textId="598C723A" w:rsidR="00835861" w:rsidRPr="00C17212" w:rsidRDefault="001308C2" w:rsidP="00C17212">
            <w:pPr>
              <w:numPr>
                <w:ilvl w:val="0"/>
                <w:numId w:val="26"/>
              </w:numPr>
              <w:spacing w:after="0"/>
              <w:rPr>
                <w:lang w:val="fr-FR"/>
              </w:rPr>
            </w:pPr>
            <w:r>
              <w:rPr>
                <w:lang w:val="fr-FR"/>
              </w:rPr>
              <w:t>S</w:t>
            </w:r>
            <w:r w:rsidR="00835861" w:rsidRPr="00C17212">
              <w:rPr>
                <w:lang w:val="fr-FR"/>
              </w:rPr>
              <w:t xml:space="preserve">oit </w:t>
            </w:r>
            <w:r w:rsidR="00835861" w:rsidRPr="00C17212">
              <w:rPr>
                <w:b/>
                <w:lang w:val="fr-FR"/>
              </w:rPr>
              <w:t xml:space="preserve">disposer effectivement d’une voiture de société </w:t>
            </w:r>
            <w:r w:rsidR="00835861" w:rsidRPr="00C17212">
              <w:rPr>
                <w:lang w:val="fr-FR"/>
              </w:rPr>
              <w:t>qu’ils peuvent restituer</w:t>
            </w:r>
            <w:r w:rsidR="00835861" w:rsidRPr="00296092">
              <w:rPr>
                <w:lang w:val="fr-FR"/>
              </w:rPr>
              <w:t> </w:t>
            </w:r>
          </w:p>
          <w:p w14:paraId="6B5702F1" w14:textId="33B48BE2" w:rsidR="00835861" w:rsidRPr="00C17212" w:rsidRDefault="001308C2" w:rsidP="00C17212">
            <w:pPr>
              <w:numPr>
                <w:ilvl w:val="0"/>
                <w:numId w:val="26"/>
              </w:numPr>
              <w:spacing w:after="0"/>
              <w:rPr>
                <w:lang w:val="fr-FR"/>
              </w:rPr>
            </w:pPr>
            <w:r>
              <w:rPr>
                <w:lang w:val="fr-FR"/>
              </w:rPr>
              <w:t>S</w:t>
            </w:r>
            <w:r w:rsidR="00835861" w:rsidRPr="00C17212">
              <w:rPr>
                <w:lang w:val="fr-FR"/>
              </w:rPr>
              <w:t xml:space="preserve">oit </w:t>
            </w:r>
            <w:r w:rsidR="00835861" w:rsidRPr="00C17212">
              <w:rPr>
                <w:b/>
                <w:lang w:val="fr-FR"/>
              </w:rPr>
              <w:t xml:space="preserve">entrer en considération </w:t>
            </w:r>
            <w:r w:rsidR="00835861" w:rsidRPr="00C17212">
              <w:rPr>
                <w:lang w:val="fr-FR"/>
              </w:rPr>
              <w:t>pour une voiture de société</w:t>
            </w:r>
          </w:p>
          <w:p w14:paraId="0418B6A4" w14:textId="77777777" w:rsidR="00835861" w:rsidRPr="00C17212" w:rsidRDefault="00835861" w:rsidP="00C17212">
            <w:pPr>
              <w:spacing w:after="0"/>
              <w:rPr>
                <w:lang w:val="fr-FR"/>
              </w:rPr>
            </w:pPr>
          </w:p>
          <w:p w14:paraId="43235D90" w14:textId="77777777" w:rsidR="00835861" w:rsidRPr="00C17212" w:rsidRDefault="00835861" w:rsidP="00A06FA1">
            <w:pPr>
              <w:spacing w:after="0"/>
              <w:rPr>
                <w:lang w:val="fr-FR"/>
              </w:rPr>
            </w:pPr>
            <w:r w:rsidRPr="00C17212">
              <w:rPr>
                <w:lang w:val="fr-FR"/>
              </w:rPr>
              <w:t>Entrent en considération pour une voiture de société</w:t>
            </w:r>
            <w:r w:rsidRPr="00296092">
              <w:rPr>
                <w:lang w:val="fr-FR"/>
              </w:rPr>
              <w:t> </w:t>
            </w:r>
            <w:r w:rsidRPr="00C17212">
              <w:rPr>
                <w:lang w:val="fr-FR"/>
              </w:rPr>
              <w:t xml:space="preserve">: </w:t>
            </w:r>
            <w:r w:rsidRPr="00296092">
              <w:rPr>
                <w:lang w:val="fr-FR"/>
              </w:rPr>
              <w:t>les travailleurs qui</w:t>
            </w:r>
            <w:r w:rsidRPr="00C17212">
              <w:rPr>
                <w:lang w:val="fr-FR"/>
              </w:rPr>
              <w:t>, à la suite d’un engagement, d’une promotion ou d’un changement de fonction</w:t>
            </w:r>
            <w:r w:rsidRPr="00296092">
              <w:rPr>
                <w:lang w:val="fr-FR"/>
              </w:rPr>
              <w:t>,</w:t>
            </w:r>
            <w:r w:rsidRPr="00C17212">
              <w:rPr>
                <w:lang w:val="fr-FR"/>
              </w:rPr>
              <w:t xml:space="preserve"> intègrent une </w:t>
            </w:r>
            <w:r w:rsidRPr="00C17212">
              <w:rPr>
                <w:b/>
                <w:lang w:val="fr-FR"/>
              </w:rPr>
              <w:t xml:space="preserve">catégorie de fonctions </w:t>
            </w:r>
            <w:r w:rsidRPr="00C17212">
              <w:rPr>
                <w:lang w:val="fr-FR"/>
              </w:rPr>
              <w:t xml:space="preserve">pour laquelle une voiture de société est prévue dans la </w:t>
            </w:r>
            <w:r w:rsidRPr="00C17212">
              <w:rPr>
                <w:b/>
                <w:lang w:val="fr-FR"/>
              </w:rPr>
              <w:t>politique relative aux voitures de société</w:t>
            </w:r>
            <w:r w:rsidRPr="00C17212">
              <w:rPr>
                <w:lang w:val="fr-FR"/>
              </w:rPr>
              <w:t xml:space="preserve"> en vigueur chez l’employeur.</w:t>
            </w:r>
          </w:p>
          <w:p w14:paraId="3EC928B1" w14:textId="77777777" w:rsidR="00835861" w:rsidRPr="00C17212" w:rsidRDefault="00835861" w:rsidP="00C17212">
            <w:pPr>
              <w:spacing w:after="0"/>
              <w:rPr>
                <w:lang w:val="fr-FR"/>
              </w:rPr>
            </w:pPr>
          </w:p>
          <w:p w14:paraId="462ADDCD" w14:textId="3067378B" w:rsidR="00835861" w:rsidRPr="00C17212" w:rsidRDefault="00835861" w:rsidP="00C17212">
            <w:pPr>
              <w:spacing w:after="0"/>
              <w:rPr>
                <w:lang w:val="fr-FR"/>
              </w:rPr>
            </w:pPr>
            <w:r w:rsidRPr="00296092">
              <w:rPr>
                <w:lang w:val="fr-FR"/>
              </w:rPr>
              <w:t>Attention ! Lorsque la politique relative aux voitures de société ne prévoit pas une voiture de société sur la base de la  « catégorie de fonctions », mais sur la base d’autres critères, il s’agit de voitures de société attribuées à titre individuel, et la fonction ne donne pas droit en soi à une voiture de société (et ne donne donc pas droit non plus à un</w:t>
            </w:r>
            <w:r w:rsidR="00972E37">
              <w:rPr>
                <w:lang w:val="fr-FR"/>
              </w:rPr>
              <w:t xml:space="preserve"> budget </w:t>
            </w:r>
            <w:r w:rsidRPr="00296092">
              <w:rPr>
                <w:lang w:val="fr-FR"/>
              </w:rPr>
              <w:t>de mobilité.</w:t>
            </w:r>
          </w:p>
          <w:p w14:paraId="31F4D0BD" w14:textId="6E97AD40" w:rsidR="00835861" w:rsidRPr="00296092" w:rsidRDefault="00835861" w:rsidP="00C05E3F">
            <w:pPr>
              <w:rPr>
                <w:lang w:val="fr-FR"/>
              </w:rPr>
            </w:pPr>
          </w:p>
        </w:tc>
      </w:tr>
      <w:tr w:rsidR="00835861" w:rsidRPr="00296092" w14:paraId="22209789" w14:textId="4A7195E7" w:rsidTr="003F10CB">
        <w:tc>
          <w:tcPr>
            <w:tcW w:w="3771" w:type="dxa"/>
          </w:tcPr>
          <w:p w14:paraId="75C0F52E" w14:textId="57623A5C" w:rsidR="00835861" w:rsidRPr="00296092" w:rsidRDefault="00835861" w:rsidP="00C05E3F">
            <w:pPr>
              <w:rPr>
                <w:b/>
                <w:lang w:val="fr-FR"/>
              </w:rPr>
            </w:pPr>
            <w:r w:rsidRPr="00296092">
              <w:rPr>
                <w:b/>
                <w:lang w:val="fr-FR"/>
              </w:rPr>
              <w:t>CARACTÈRE VOLONTAIRE</w:t>
            </w:r>
          </w:p>
        </w:tc>
        <w:tc>
          <w:tcPr>
            <w:tcW w:w="9405" w:type="dxa"/>
            <w:gridSpan w:val="2"/>
          </w:tcPr>
          <w:p w14:paraId="65D1239C" w14:textId="77777777" w:rsidR="00835861" w:rsidRPr="00296092" w:rsidRDefault="00835861" w:rsidP="00C05E3F">
            <w:pPr>
              <w:rPr>
                <w:lang w:val="fr-FR"/>
              </w:rPr>
            </w:pPr>
            <w:r w:rsidRPr="00296092">
              <w:rPr>
                <w:lang w:val="fr-FR"/>
              </w:rPr>
              <w:t xml:space="preserve">L’employeur </w:t>
            </w:r>
            <w:r w:rsidRPr="00296092">
              <w:rPr>
                <w:b/>
                <w:lang w:val="fr-FR"/>
              </w:rPr>
              <w:t>ne peut être contraint</w:t>
            </w:r>
            <w:r w:rsidRPr="00296092">
              <w:rPr>
                <w:lang w:val="fr-FR"/>
              </w:rPr>
              <w:t xml:space="preserve"> de mettre en place ce système et le travailleur ne peut être contraint de restituer sa voiture de société.</w:t>
            </w:r>
          </w:p>
          <w:p w14:paraId="002A1D30" w14:textId="4F59F268" w:rsidR="00835861" w:rsidRPr="00296092" w:rsidRDefault="00835861" w:rsidP="00E4267C">
            <w:pPr>
              <w:rPr>
                <w:lang w:val="fr-FR"/>
              </w:rPr>
            </w:pPr>
            <w:r w:rsidRPr="00296092">
              <w:rPr>
                <w:lang w:val="fr-FR"/>
              </w:rPr>
              <w:t xml:space="preserve">L’initiative d’introduire une allocation de mobilité revient exclusivement à l’employeur. L’employeur est libre d’instaurer </w:t>
            </w:r>
            <w:r w:rsidR="00972E37">
              <w:rPr>
                <w:lang w:val="fr-FR"/>
              </w:rPr>
              <w:t>un budget</w:t>
            </w:r>
            <w:r w:rsidRPr="00296092">
              <w:rPr>
                <w:lang w:val="fr-FR"/>
              </w:rPr>
              <w:t xml:space="preserve"> de mobilité pour toute l’entreprise, pour un département déterminé ou pour certaines catégories de travailleurs (sans que cette instauration puisse être discriminatoire).</w:t>
            </w:r>
          </w:p>
        </w:tc>
      </w:tr>
      <w:tr w:rsidR="00835861" w:rsidRPr="00296092" w14:paraId="3447508A" w14:textId="6AAE6812" w:rsidTr="003F10CB">
        <w:tc>
          <w:tcPr>
            <w:tcW w:w="3771" w:type="dxa"/>
            <w:vMerge w:val="restart"/>
          </w:tcPr>
          <w:p w14:paraId="070A5528" w14:textId="3FC9F5C3" w:rsidR="00835861" w:rsidRPr="00296092" w:rsidRDefault="00835861" w:rsidP="00C05E3F">
            <w:pPr>
              <w:rPr>
                <w:b/>
                <w:lang w:val="fr-FR"/>
              </w:rPr>
            </w:pPr>
            <w:r w:rsidRPr="00296092">
              <w:rPr>
                <w:b/>
                <w:lang w:val="fr-FR"/>
              </w:rPr>
              <w:t>CONDITIONS</w:t>
            </w:r>
          </w:p>
        </w:tc>
        <w:tc>
          <w:tcPr>
            <w:tcW w:w="1787" w:type="dxa"/>
          </w:tcPr>
          <w:p w14:paraId="32719242" w14:textId="41E61ADF" w:rsidR="00835861" w:rsidRPr="00296092" w:rsidRDefault="00835861" w:rsidP="00C05E3F">
            <w:pPr>
              <w:rPr>
                <w:b/>
                <w:lang w:val="fr-FR"/>
              </w:rPr>
            </w:pPr>
            <w:r w:rsidRPr="00296092">
              <w:rPr>
                <w:b/>
                <w:lang w:val="fr-FR"/>
              </w:rPr>
              <w:t>Employeur</w:t>
            </w:r>
          </w:p>
        </w:tc>
        <w:tc>
          <w:tcPr>
            <w:tcW w:w="7618" w:type="dxa"/>
          </w:tcPr>
          <w:p w14:paraId="324AB9BA" w14:textId="70D73373" w:rsidR="00835861" w:rsidRPr="00296092" w:rsidRDefault="001308C2" w:rsidP="00C05E3F">
            <w:pPr>
              <w:pStyle w:val="Streep"/>
              <w:numPr>
                <w:ilvl w:val="0"/>
                <w:numId w:val="1"/>
              </w:numPr>
              <w:rPr>
                <w:lang w:val="fr-FR"/>
              </w:rPr>
            </w:pPr>
            <w:r>
              <w:rPr>
                <w:lang w:val="fr-FR"/>
              </w:rPr>
              <w:t>E</w:t>
            </w:r>
            <w:r w:rsidR="00835861" w:rsidRPr="00296092">
              <w:rPr>
                <w:lang w:val="fr-FR"/>
              </w:rPr>
              <w:t xml:space="preserve">mployeur qui occupe des travailleurs qui disposent d’une </w:t>
            </w:r>
            <w:r w:rsidR="00835861" w:rsidRPr="00296092">
              <w:rPr>
                <w:b/>
                <w:lang w:val="fr-FR"/>
              </w:rPr>
              <w:t>voiture de société</w:t>
            </w:r>
            <w:r w:rsidR="00835861" w:rsidRPr="00296092">
              <w:rPr>
                <w:lang w:val="fr-FR"/>
              </w:rPr>
              <w:t xml:space="preserve"> pour utilisation </w:t>
            </w:r>
            <w:r w:rsidR="00835861" w:rsidRPr="00296092">
              <w:rPr>
                <w:b/>
                <w:lang w:val="fr-FR"/>
              </w:rPr>
              <w:t>personnelle</w:t>
            </w:r>
          </w:p>
          <w:p w14:paraId="7D6B0A23" w14:textId="0ADDA3D0" w:rsidR="00835861" w:rsidRPr="00296092" w:rsidRDefault="001308C2" w:rsidP="00C05E3F">
            <w:pPr>
              <w:pStyle w:val="Streep"/>
              <w:numPr>
                <w:ilvl w:val="0"/>
                <w:numId w:val="1"/>
              </w:numPr>
              <w:rPr>
                <w:lang w:val="fr-FR"/>
              </w:rPr>
            </w:pPr>
            <w:r>
              <w:rPr>
                <w:lang w:val="fr-FR"/>
              </w:rPr>
              <w:t>E</w:t>
            </w:r>
            <w:r w:rsidR="00835861" w:rsidRPr="00296092">
              <w:rPr>
                <w:lang w:val="fr-FR"/>
              </w:rPr>
              <w:t xml:space="preserve">t qui a déjà mis à disposition une ou plusieurs voitures de société </w:t>
            </w:r>
            <w:r w:rsidR="00835861" w:rsidRPr="00296092">
              <w:rPr>
                <w:b/>
                <w:lang w:val="fr-FR"/>
              </w:rPr>
              <w:t>pendant une période ininterrompue d’au moins 36 mois</w:t>
            </w:r>
            <w:r w:rsidR="00835861" w:rsidRPr="00296092">
              <w:rPr>
                <w:lang w:val="fr-FR"/>
              </w:rPr>
              <w:t xml:space="preserve"> précédant immédiatement l’instauration de l’allocation de mobilité (preuve notamment via la déclaration </w:t>
            </w:r>
            <w:proofErr w:type="spellStart"/>
            <w:r w:rsidR="00835861" w:rsidRPr="00296092">
              <w:rPr>
                <w:lang w:val="fr-FR"/>
              </w:rPr>
              <w:t>Dmfa</w:t>
            </w:r>
            <w:proofErr w:type="spellEnd"/>
            <w:r w:rsidR="00835861" w:rsidRPr="00296092">
              <w:rPr>
                <w:lang w:val="fr-FR"/>
              </w:rPr>
              <w:t>) ;</w:t>
            </w:r>
          </w:p>
          <w:p w14:paraId="4A04C6B1" w14:textId="73E21EBA" w:rsidR="00835861" w:rsidRPr="00296092" w:rsidRDefault="00835861" w:rsidP="00C05E3F">
            <w:pPr>
              <w:pStyle w:val="Streep"/>
              <w:numPr>
                <w:ilvl w:val="0"/>
                <w:numId w:val="1"/>
              </w:numPr>
              <w:rPr>
                <w:lang w:val="fr-FR"/>
              </w:rPr>
            </w:pPr>
            <w:r w:rsidRPr="00296092">
              <w:rPr>
                <w:lang w:val="fr-FR"/>
              </w:rPr>
              <w:t>Exception pour les employeurs débutants</w:t>
            </w:r>
          </w:p>
        </w:tc>
      </w:tr>
      <w:tr w:rsidR="00835861" w:rsidRPr="00296092" w14:paraId="099681E6" w14:textId="76533C10" w:rsidTr="003F10CB">
        <w:tc>
          <w:tcPr>
            <w:tcW w:w="3771" w:type="dxa"/>
            <w:vMerge/>
          </w:tcPr>
          <w:p w14:paraId="2EE9889D" w14:textId="6F36C742" w:rsidR="00835861" w:rsidRPr="00296092" w:rsidRDefault="00835861" w:rsidP="00C05E3F">
            <w:pPr>
              <w:rPr>
                <w:lang w:val="fr-FR"/>
              </w:rPr>
            </w:pPr>
          </w:p>
        </w:tc>
        <w:tc>
          <w:tcPr>
            <w:tcW w:w="1787" w:type="dxa"/>
          </w:tcPr>
          <w:p w14:paraId="502AB7A4" w14:textId="5F3B2BFE" w:rsidR="00835861" w:rsidRPr="00296092" w:rsidRDefault="00835861" w:rsidP="00C05E3F">
            <w:pPr>
              <w:rPr>
                <w:b/>
                <w:lang w:val="fr-FR"/>
              </w:rPr>
            </w:pPr>
            <w:r w:rsidRPr="00296092">
              <w:rPr>
                <w:b/>
                <w:lang w:val="fr-FR"/>
              </w:rPr>
              <w:t>Travailleur</w:t>
            </w:r>
          </w:p>
        </w:tc>
        <w:tc>
          <w:tcPr>
            <w:tcW w:w="7618" w:type="dxa"/>
          </w:tcPr>
          <w:p w14:paraId="11D3E8CC" w14:textId="1E39EE3A" w:rsidR="00835861" w:rsidRPr="00296092" w:rsidRDefault="00835861" w:rsidP="00B11567">
            <w:pPr>
              <w:pStyle w:val="Streep"/>
              <w:tabs>
                <w:tab w:val="clear" w:pos="360"/>
              </w:tabs>
              <w:ind w:left="0" w:firstLine="0"/>
              <w:rPr>
                <w:lang w:val="fr-FR"/>
              </w:rPr>
            </w:pPr>
            <w:r w:rsidRPr="00296092">
              <w:rPr>
                <w:lang w:val="fr-FR"/>
              </w:rPr>
              <w:t xml:space="preserve">Un travailleur ou une personne y assimilée qui dispose d’une voiture de société ou qui entre en considération pour une voiture de société </w:t>
            </w:r>
          </w:p>
        </w:tc>
      </w:tr>
      <w:tr w:rsidR="00835861" w:rsidRPr="00296092" w14:paraId="45E6C6E2" w14:textId="55092846" w:rsidTr="003F10CB">
        <w:tc>
          <w:tcPr>
            <w:tcW w:w="3771" w:type="dxa"/>
            <w:vMerge/>
          </w:tcPr>
          <w:p w14:paraId="1BD8104B" w14:textId="34ADE28E" w:rsidR="00835861" w:rsidRPr="00296092" w:rsidRDefault="00835861" w:rsidP="00C05E3F">
            <w:pPr>
              <w:rPr>
                <w:lang w:val="fr-FR"/>
              </w:rPr>
            </w:pPr>
          </w:p>
        </w:tc>
        <w:tc>
          <w:tcPr>
            <w:tcW w:w="1787" w:type="dxa"/>
          </w:tcPr>
          <w:p w14:paraId="4AF5C91D" w14:textId="2AEDBAF9" w:rsidR="00835861" w:rsidRPr="00296092" w:rsidRDefault="00835861" w:rsidP="00C05E3F">
            <w:pPr>
              <w:rPr>
                <w:b/>
                <w:lang w:val="fr-FR"/>
              </w:rPr>
            </w:pPr>
            <w:r w:rsidRPr="00296092">
              <w:rPr>
                <w:b/>
                <w:lang w:val="fr-FR"/>
              </w:rPr>
              <w:t>Voiture de société</w:t>
            </w:r>
          </w:p>
        </w:tc>
        <w:tc>
          <w:tcPr>
            <w:tcW w:w="7618" w:type="dxa"/>
          </w:tcPr>
          <w:p w14:paraId="61A1003F" w14:textId="316D99C1" w:rsidR="00835861" w:rsidRPr="00296092" w:rsidRDefault="00835861" w:rsidP="00C05E3F">
            <w:pPr>
              <w:spacing w:after="0"/>
              <w:rPr>
                <w:lang w:val="fr-FR"/>
              </w:rPr>
            </w:pPr>
            <w:r w:rsidRPr="00296092">
              <w:rPr>
                <w:lang w:val="fr-FR"/>
              </w:rPr>
              <w:t xml:space="preserve">Uniquement si mise à disposition à des </w:t>
            </w:r>
            <w:r w:rsidRPr="00296092">
              <w:rPr>
                <w:b/>
                <w:lang w:val="fr-FR"/>
              </w:rPr>
              <w:t>fins privées</w:t>
            </w:r>
            <w:r w:rsidRPr="00296092">
              <w:rPr>
                <w:lang w:val="fr-FR"/>
              </w:rPr>
              <w:t xml:space="preserve"> (avantage de toute nature </w:t>
            </w:r>
            <w:r w:rsidRPr="00296092">
              <w:rPr>
                <w:b/>
                <w:lang w:val="fr-FR"/>
              </w:rPr>
              <w:t>et</w:t>
            </w:r>
            <w:r w:rsidRPr="00296092">
              <w:rPr>
                <w:lang w:val="fr-FR"/>
              </w:rPr>
              <w:t xml:space="preserve"> cotisation de solidarité à charge de l’employeur). Donc </w:t>
            </w:r>
            <w:r w:rsidRPr="00296092">
              <w:rPr>
                <w:b/>
                <w:lang w:val="fr-FR"/>
              </w:rPr>
              <w:t>pas </w:t>
            </w:r>
            <w:r w:rsidRPr="00296092">
              <w:rPr>
                <w:lang w:val="fr-FR"/>
              </w:rPr>
              <w:t>:</w:t>
            </w:r>
          </w:p>
          <w:p w14:paraId="3432A113" w14:textId="340A5AD7" w:rsidR="00835861" w:rsidRPr="00296092" w:rsidRDefault="00DB7A03" w:rsidP="00C05E3F">
            <w:pPr>
              <w:pStyle w:val="Streep"/>
              <w:numPr>
                <w:ilvl w:val="0"/>
                <w:numId w:val="1"/>
              </w:numPr>
              <w:rPr>
                <w:lang w:val="fr-FR"/>
              </w:rPr>
            </w:pPr>
            <w:r>
              <w:rPr>
                <w:lang w:val="fr-FR"/>
              </w:rPr>
              <w:t>L</w:t>
            </w:r>
            <w:r w:rsidR="00835861" w:rsidRPr="00296092">
              <w:rPr>
                <w:lang w:val="fr-FR"/>
              </w:rPr>
              <w:t>es voitures de service à usage strictement professionnel</w:t>
            </w:r>
          </w:p>
          <w:p w14:paraId="155A2927" w14:textId="4DDD584C" w:rsidR="00835861" w:rsidRPr="00296092" w:rsidRDefault="00DB7A03" w:rsidP="00C05E3F">
            <w:pPr>
              <w:pStyle w:val="Streep"/>
              <w:numPr>
                <w:ilvl w:val="0"/>
                <w:numId w:val="1"/>
              </w:numPr>
              <w:rPr>
                <w:lang w:val="fr-FR"/>
              </w:rPr>
            </w:pPr>
            <w:r>
              <w:rPr>
                <w:lang w:val="fr-FR"/>
              </w:rPr>
              <w:t>L</w:t>
            </w:r>
            <w:r w:rsidR="00835861" w:rsidRPr="00296092">
              <w:rPr>
                <w:lang w:val="fr-FR"/>
              </w:rPr>
              <w:t>es camionnettes en tant que véhicules utilitaires</w:t>
            </w:r>
          </w:p>
          <w:p w14:paraId="5ED29D72" w14:textId="3F9140D6" w:rsidR="00835861" w:rsidRPr="00296092" w:rsidRDefault="00DB7A03" w:rsidP="00C05E3F">
            <w:pPr>
              <w:pStyle w:val="Streep"/>
              <w:numPr>
                <w:ilvl w:val="0"/>
                <w:numId w:val="1"/>
              </w:numPr>
              <w:rPr>
                <w:lang w:val="fr-FR"/>
              </w:rPr>
            </w:pPr>
            <w:r>
              <w:rPr>
                <w:lang w:val="fr-FR"/>
              </w:rPr>
              <w:t>L</w:t>
            </w:r>
            <w:r w:rsidR="00835861" w:rsidRPr="00296092">
              <w:rPr>
                <w:lang w:val="fr-FR"/>
              </w:rPr>
              <w:t xml:space="preserve">es voitures de société mises à disposition à des fins privées </w:t>
            </w:r>
            <w:r w:rsidR="00835861" w:rsidRPr="00296092">
              <w:rPr>
                <w:b/>
                <w:lang w:val="fr-FR"/>
              </w:rPr>
              <w:t>lorsque le travailleur finance lui-même entièrement cette utilisation privée</w:t>
            </w:r>
            <w:r w:rsidR="00835861" w:rsidRPr="00296092">
              <w:rPr>
                <w:lang w:val="fr-FR"/>
              </w:rPr>
              <w:t xml:space="preserve"> par une contribution personnelle mensuelle...</w:t>
            </w:r>
          </w:p>
          <w:p w14:paraId="52313C65" w14:textId="161EB5A6" w:rsidR="00835861" w:rsidRPr="00296092" w:rsidRDefault="00835861" w:rsidP="00C05E3F">
            <w:pPr>
              <w:rPr>
                <w:lang w:val="fr-FR"/>
              </w:rPr>
            </w:pPr>
            <w:r w:rsidRPr="00296092">
              <w:rPr>
                <w:b/>
                <w:lang w:val="fr-FR"/>
              </w:rPr>
              <w:lastRenderedPageBreak/>
              <w:t>Pas</w:t>
            </w:r>
            <w:r w:rsidRPr="00296092">
              <w:rPr>
                <w:lang w:val="fr-FR"/>
              </w:rPr>
              <w:t xml:space="preserve"> les voitures qui ont été octroyées </w:t>
            </w:r>
            <w:r w:rsidRPr="00296092">
              <w:rPr>
                <w:b/>
                <w:lang w:val="fr-FR"/>
              </w:rPr>
              <w:t>en remplacement</w:t>
            </w:r>
            <w:r w:rsidRPr="00296092">
              <w:rPr>
                <w:lang w:val="fr-FR"/>
              </w:rPr>
              <w:t xml:space="preserve"> d’avantages existants (cash4car p.ex.).</w:t>
            </w:r>
          </w:p>
        </w:tc>
      </w:tr>
      <w:tr w:rsidR="00835861" w:rsidRPr="00296092" w14:paraId="0AF4E278" w14:textId="2DD3F16A" w:rsidTr="003F10CB">
        <w:tc>
          <w:tcPr>
            <w:tcW w:w="3771" w:type="dxa"/>
          </w:tcPr>
          <w:p w14:paraId="6E021956" w14:textId="7E79B22E" w:rsidR="00835861" w:rsidRPr="00296092" w:rsidRDefault="00835861" w:rsidP="00C05E3F">
            <w:pPr>
              <w:rPr>
                <w:b/>
                <w:lang w:val="fr-FR"/>
              </w:rPr>
            </w:pPr>
            <w:r w:rsidRPr="00296092">
              <w:rPr>
                <w:b/>
                <w:lang w:val="fr-FR"/>
              </w:rPr>
              <w:lastRenderedPageBreak/>
              <w:t>PROCÉDURE EN 3 PHASES</w:t>
            </w:r>
          </w:p>
        </w:tc>
        <w:tc>
          <w:tcPr>
            <w:tcW w:w="9405" w:type="dxa"/>
            <w:gridSpan w:val="2"/>
          </w:tcPr>
          <w:p w14:paraId="45CEF083" w14:textId="55640B0F" w:rsidR="00835861" w:rsidRPr="00296092" w:rsidRDefault="00835861" w:rsidP="00C05E3F">
            <w:pPr>
              <w:pStyle w:val="ListParagraph"/>
              <w:numPr>
                <w:ilvl w:val="0"/>
                <w:numId w:val="16"/>
              </w:numPr>
              <w:rPr>
                <w:lang w:val="fr-FR"/>
              </w:rPr>
            </w:pPr>
            <w:r w:rsidRPr="00296092">
              <w:rPr>
                <w:b/>
                <w:lang w:val="fr-FR"/>
              </w:rPr>
              <w:t>L’employeur instaure l</w:t>
            </w:r>
            <w:r w:rsidR="009E0FD9">
              <w:rPr>
                <w:b/>
                <w:lang w:val="fr-FR"/>
              </w:rPr>
              <w:t>e budget</w:t>
            </w:r>
            <w:r w:rsidRPr="00296092">
              <w:rPr>
                <w:b/>
                <w:lang w:val="fr-FR"/>
              </w:rPr>
              <w:t xml:space="preserve"> de mobilité</w:t>
            </w:r>
            <w:r w:rsidRPr="00296092">
              <w:rPr>
                <w:lang w:val="fr-FR"/>
              </w:rPr>
              <w:t xml:space="preserve"> (C.C.T., contrat de travail, car </w:t>
            </w:r>
            <w:proofErr w:type="spellStart"/>
            <w:r w:rsidRPr="00296092">
              <w:rPr>
                <w:lang w:val="fr-FR"/>
              </w:rPr>
              <w:t>policy</w:t>
            </w:r>
            <w:proofErr w:type="spellEnd"/>
            <w:r w:rsidRPr="00296092">
              <w:rPr>
                <w:lang w:val="fr-FR"/>
              </w:rPr>
              <w:t xml:space="preserve">...) et </w:t>
            </w:r>
            <w:r w:rsidRPr="00296092">
              <w:rPr>
                <w:b/>
                <w:lang w:val="fr-FR"/>
              </w:rPr>
              <w:t>informe son personnel</w:t>
            </w:r>
            <w:r w:rsidRPr="00296092">
              <w:rPr>
                <w:lang w:val="fr-FR"/>
              </w:rPr>
              <w:t xml:space="preserve"> . </w:t>
            </w:r>
          </w:p>
          <w:p w14:paraId="58712125" w14:textId="18211E15" w:rsidR="00835861" w:rsidRPr="00296092" w:rsidRDefault="00835861" w:rsidP="00DB379B">
            <w:pPr>
              <w:pStyle w:val="ListParagraph"/>
              <w:rPr>
                <w:lang w:val="fr-FR"/>
              </w:rPr>
            </w:pPr>
            <w:r w:rsidRPr="00296092">
              <w:rPr>
                <w:lang w:val="fr-FR"/>
              </w:rPr>
              <w:t>Si l’employeur souhaite rattacher des conditions à l’octroi d’un</w:t>
            </w:r>
            <w:r w:rsidR="009E0FD9">
              <w:rPr>
                <w:lang w:val="fr-FR"/>
              </w:rPr>
              <w:t xml:space="preserve"> budget</w:t>
            </w:r>
            <w:r w:rsidRPr="00296092">
              <w:rPr>
                <w:lang w:val="fr-FR"/>
              </w:rPr>
              <w:t xml:space="preserve"> de mobilité, il doit en informer le personnel au moment de l’introduction d</w:t>
            </w:r>
            <w:r w:rsidR="009E0FD9">
              <w:rPr>
                <w:lang w:val="fr-FR"/>
              </w:rPr>
              <w:t>u budget</w:t>
            </w:r>
            <w:r w:rsidRPr="00296092">
              <w:rPr>
                <w:lang w:val="fr-FR"/>
              </w:rPr>
              <w:t xml:space="preserve"> de mobilité.</w:t>
            </w:r>
          </w:p>
          <w:p w14:paraId="1C8C607F" w14:textId="4B90B8B6" w:rsidR="00835861" w:rsidRPr="008748AC" w:rsidRDefault="00835861" w:rsidP="00C05E3F">
            <w:pPr>
              <w:pStyle w:val="ListParagraph"/>
              <w:numPr>
                <w:ilvl w:val="0"/>
                <w:numId w:val="16"/>
              </w:numPr>
              <w:rPr>
                <w:lang w:val="fr-FR"/>
              </w:rPr>
            </w:pPr>
            <w:r w:rsidRPr="00296092">
              <w:rPr>
                <w:lang w:val="fr-FR"/>
              </w:rPr>
              <w:t xml:space="preserve">Le </w:t>
            </w:r>
            <w:r w:rsidRPr="00296092">
              <w:rPr>
                <w:b/>
                <w:lang w:val="fr-FR"/>
              </w:rPr>
              <w:t>travailleur</w:t>
            </w:r>
            <w:r w:rsidRPr="00296092">
              <w:rPr>
                <w:lang w:val="fr-FR"/>
              </w:rPr>
              <w:t xml:space="preserve"> introduit une </w:t>
            </w:r>
            <w:r w:rsidRPr="00296092">
              <w:rPr>
                <w:b/>
                <w:lang w:val="fr-FR"/>
              </w:rPr>
              <w:t>demande écrite</w:t>
            </w:r>
            <w:r w:rsidRPr="00296092">
              <w:rPr>
                <w:lang w:val="fr-FR"/>
              </w:rPr>
              <w:t xml:space="preserve"> en vue d’échanger sa voiture de société contre un </w:t>
            </w:r>
            <w:r w:rsidR="009E0FD9">
              <w:rPr>
                <w:lang w:val="fr-FR"/>
              </w:rPr>
              <w:t>budget</w:t>
            </w:r>
            <w:r w:rsidRPr="00296092">
              <w:rPr>
                <w:lang w:val="fr-FR"/>
              </w:rPr>
              <w:t xml:space="preserve"> de mobilité. L’employeur communique préalablement au travailleur les modalités de calcul d</w:t>
            </w:r>
            <w:r w:rsidR="009E0FD9">
              <w:rPr>
                <w:lang w:val="fr-FR"/>
              </w:rPr>
              <w:t xml:space="preserve">u budget </w:t>
            </w:r>
            <w:r w:rsidRPr="008748AC">
              <w:rPr>
                <w:lang w:val="fr-FR"/>
              </w:rPr>
              <w:t>de mobilité et son montant.</w:t>
            </w:r>
          </w:p>
          <w:p w14:paraId="5CDC4FF9" w14:textId="4852B8EB" w:rsidR="00835861" w:rsidRPr="00296092" w:rsidRDefault="00835861" w:rsidP="00C05E3F">
            <w:pPr>
              <w:pStyle w:val="ListParagraph"/>
              <w:numPr>
                <w:ilvl w:val="0"/>
                <w:numId w:val="16"/>
              </w:numPr>
              <w:rPr>
                <w:lang w:val="fr-FR"/>
              </w:rPr>
            </w:pPr>
            <w:r w:rsidRPr="00296092">
              <w:rPr>
                <w:b/>
                <w:lang w:val="fr-FR"/>
              </w:rPr>
              <w:t xml:space="preserve">L’employeur accepte </w:t>
            </w:r>
            <w:r w:rsidRPr="00296092">
              <w:rPr>
                <w:lang w:val="fr-FR"/>
              </w:rPr>
              <w:t xml:space="preserve">cette demande </w:t>
            </w:r>
            <w:r w:rsidRPr="00296092">
              <w:rPr>
                <w:b/>
                <w:lang w:val="fr-FR"/>
              </w:rPr>
              <w:t>par écrit</w:t>
            </w:r>
            <w:r w:rsidRPr="00296092">
              <w:rPr>
                <w:lang w:val="fr-FR"/>
              </w:rPr>
              <w:t xml:space="preserve"> : l’accord fait partie du contrat de travail et constitue un </w:t>
            </w:r>
            <w:r w:rsidRPr="00296092">
              <w:rPr>
                <w:b/>
                <w:lang w:val="fr-FR"/>
              </w:rPr>
              <w:t>document social</w:t>
            </w:r>
            <w:r w:rsidRPr="00296092">
              <w:rPr>
                <w:lang w:val="fr-FR"/>
              </w:rPr>
              <w:t xml:space="preserve"> qui contient des mentions obligatoires .</w:t>
            </w:r>
          </w:p>
        </w:tc>
      </w:tr>
      <w:tr w:rsidR="00C14AE4" w:rsidRPr="00296092" w14:paraId="4015C512" w14:textId="6378B381" w:rsidTr="003F10CB">
        <w:tc>
          <w:tcPr>
            <w:tcW w:w="3771" w:type="dxa"/>
            <w:vMerge w:val="restart"/>
          </w:tcPr>
          <w:p w14:paraId="4B8F471B" w14:textId="391039CE" w:rsidR="00C14AE4" w:rsidRPr="00296092" w:rsidRDefault="00C14AE4" w:rsidP="00C05E3F">
            <w:pPr>
              <w:rPr>
                <w:b/>
                <w:lang w:val="fr-FR"/>
              </w:rPr>
            </w:pPr>
            <w:r w:rsidRPr="00296092">
              <w:rPr>
                <w:b/>
                <w:lang w:val="fr-FR"/>
              </w:rPr>
              <w:t xml:space="preserve">MONTANT DE L’ALLOCATION </w:t>
            </w:r>
          </w:p>
        </w:tc>
        <w:tc>
          <w:tcPr>
            <w:tcW w:w="1787" w:type="dxa"/>
          </w:tcPr>
          <w:p w14:paraId="52A7AF5F" w14:textId="63437926" w:rsidR="00C14AE4" w:rsidRPr="00296092" w:rsidRDefault="00C14AE4" w:rsidP="00C05E3F">
            <w:pPr>
              <w:rPr>
                <w:b/>
                <w:lang w:val="fr-FR"/>
              </w:rPr>
            </w:pPr>
            <w:r w:rsidRPr="00296092">
              <w:rPr>
                <w:b/>
                <w:lang w:val="fr-FR"/>
              </w:rPr>
              <w:t>Montant de base</w:t>
            </w:r>
          </w:p>
        </w:tc>
        <w:tc>
          <w:tcPr>
            <w:tcW w:w="7618" w:type="dxa"/>
          </w:tcPr>
          <w:p w14:paraId="7DE8B30A" w14:textId="2C1073FC" w:rsidR="00C14AE4" w:rsidRPr="00296092" w:rsidRDefault="00C14AE4" w:rsidP="00C05E3F">
            <w:pPr>
              <w:rPr>
                <w:lang w:val="fr-FR"/>
              </w:rPr>
            </w:pPr>
            <w:r w:rsidRPr="00296092">
              <w:rPr>
                <w:b/>
                <w:lang w:val="fr-FR"/>
              </w:rPr>
              <w:t>Approche coût global</w:t>
            </w:r>
            <w:r w:rsidRPr="00296092">
              <w:rPr>
                <w:lang w:val="fr-FR"/>
              </w:rPr>
              <w:t> : coût brut annuel total du financement et de l’utilisation de la voiture de société, le cas échéant après déduction de la contribution propre du travailleur (frais de leasing ou de location, assurance, entretien, taxes, carburant, cotisation de solidarité, T.V.A. non déductible…).</w:t>
            </w:r>
          </w:p>
          <w:p w14:paraId="217BDEDC" w14:textId="6CC23C5B" w:rsidR="00C14AE4" w:rsidRPr="007124CD" w:rsidRDefault="00556E52" w:rsidP="00C05E3F">
            <w:pPr>
              <w:rPr>
                <w:lang w:eastAsia="nl-BE"/>
              </w:rPr>
            </w:pPr>
            <w:r>
              <w:rPr>
                <w:lang w:eastAsia="nl-BE"/>
              </w:rPr>
              <w:t>L</w:t>
            </w:r>
            <w:r w:rsidR="003A2D94">
              <w:rPr>
                <w:lang w:eastAsia="nl-BE"/>
              </w:rPr>
              <w:t xml:space="preserve">e budget mobilité ne peut </w:t>
            </w:r>
            <w:r w:rsidR="003A2D94" w:rsidRPr="002B605E">
              <w:rPr>
                <w:b/>
                <w:bCs/>
                <w:lang w:eastAsia="nl-BE"/>
              </w:rPr>
              <w:t>jamais être inférieur à 3</w:t>
            </w:r>
            <w:r w:rsidR="00C3265F">
              <w:rPr>
                <w:b/>
                <w:bCs/>
                <w:lang w:eastAsia="nl-BE"/>
              </w:rPr>
              <w:t>.</w:t>
            </w:r>
            <w:r w:rsidR="003A2D94" w:rsidRPr="002B605E">
              <w:rPr>
                <w:b/>
                <w:bCs/>
                <w:lang w:eastAsia="nl-BE"/>
              </w:rPr>
              <w:t>000 euros ni supérieur à 16</w:t>
            </w:r>
            <w:r w:rsidR="00C3265F">
              <w:rPr>
                <w:b/>
                <w:bCs/>
                <w:lang w:eastAsia="nl-BE"/>
              </w:rPr>
              <w:t>.</w:t>
            </w:r>
            <w:r w:rsidR="003A2D94" w:rsidRPr="002B605E">
              <w:rPr>
                <w:b/>
                <w:bCs/>
                <w:lang w:eastAsia="nl-BE"/>
              </w:rPr>
              <w:t>000 euros par an</w:t>
            </w:r>
            <w:r w:rsidR="003A2D94" w:rsidRPr="007124CD">
              <w:rPr>
                <w:lang w:eastAsia="nl-BE"/>
              </w:rPr>
              <w:t>.</w:t>
            </w:r>
          </w:p>
          <w:p w14:paraId="5B7B78AD" w14:textId="72925149" w:rsidR="004D6588" w:rsidRPr="00C3265F" w:rsidRDefault="00556E52" w:rsidP="00C05E3F">
            <w:pPr>
              <w:rPr>
                <w:lang w:val="fr-FR"/>
              </w:rPr>
            </w:pPr>
            <w:r>
              <w:rPr>
                <w:lang w:eastAsia="nl-BE"/>
              </w:rPr>
              <w:t>L</w:t>
            </w:r>
            <w:r w:rsidR="004D6588">
              <w:rPr>
                <w:lang w:eastAsia="nl-BE"/>
              </w:rPr>
              <w:t xml:space="preserve">e budget mobilité </w:t>
            </w:r>
            <w:r w:rsidR="004D6588" w:rsidRPr="002B605E">
              <w:rPr>
                <w:b/>
                <w:bCs/>
                <w:lang w:eastAsia="nl-BE"/>
              </w:rPr>
              <w:t>ne peut dépasser un cinquième de la rémunération totale brute</w:t>
            </w:r>
            <w:r w:rsidR="004D6588" w:rsidRPr="007124CD" w:rsidDel="00556E52">
              <w:rPr>
                <w:lang w:eastAsia="nl-BE"/>
              </w:rPr>
              <w:t>.</w:t>
            </w:r>
          </w:p>
          <w:p w14:paraId="368465BE" w14:textId="0E3B4204" w:rsidR="00C14AE4" w:rsidRPr="00296092" w:rsidRDefault="00C14AE4" w:rsidP="00C05E3F">
            <w:pPr>
              <w:rPr>
                <w:lang w:val="fr-FR"/>
              </w:rPr>
            </w:pPr>
            <w:r w:rsidRPr="00296092">
              <w:rPr>
                <w:lang w:val="fr-FR"/>
              </w:rPr>
              <w:t>Des adaptations ultérieures du budget mobilité suite à des changements de fonction et des promotions sont possibles (tant à la hausse qu’à la baisse).</w:t>
            </w:r>
          </w:p>
          <w:p w14:paraId="40F9851B" w14:textId="5982A7D3" w:rsidR="00C14AE4" w:rsidRDefault="00C14AE4" w:rsidP="000B1EB3">
            <w:pPr>
              <w:spacing w:after="0"/>
              <w:rPr>
                <w:lang w:val="fr-FR"/>
              </w:rPr>
            </w:pPr>
            <w:r w:rsidRPr="00296092">
              <w:rPr>
                <w:lang w:val="fr-FR"/>
              </w:rPr>
              <w:t>Le budget mobilité ne suit pas l’indexation salariale. Des adaptations du montant sont possibles pour autant qu’elles aient été convenues entre l’employeur et le travailleur.</w:t>
            </w:r>
          </w:p>
          <w:p w14:paraId="5BF0B7F2" w14:textId="77777777" w:rsidR="000B1EB3" w:rsidRPr="00296092" w:rsidRDefault="000B1EB3" w:rsidP="007124CD">
            <w:pPr>
              <w:spacing w:after="0"/>
              <w:rPr>
                <w:lang w:val="fr-FR"/>
              </w:rPr>
            </w:pPr>
          </w:p>
          <w:p w14:paraId="008F40F2" w14:textId="0F0498C7" w:rsidR="00C14AE4" w:rsidRPr="00296092" w:rsidRDefault="00C14AE4" w:rsidP="002C50F5">
            <w:pPr>
              <w:rPr>
                <w:lang w:val="fr-FR"/>
              </w:rPr>
            </w:pPr>
            <w:r w:rsidRPr="00296092">
              <w:rPr>
                <w:lang w:val="fr-FR"/>
              </w:rPr>
              <w:t>Si le travailleur entre en considération pour une voiture de société : le budget mobilité sera calculé sur la voiture de société que le travailleur aurait choisie. Si le travailleur reçoit un budget de leasing mensuel, il devra choisir une voiture de société fictive qu’il ne prendra ensuite donc pas. Il en va de même s’il lui est attribué un montant d’achat et/ou une voiture bien déterminée.</w:t>
            </w:r>
          </w:p>
        </w:tc>
      </w:tr>
      <w:tr w:rsidR="00C14AE4" w:rsidRPr="00296092" w14:paraId="72934043" w14:textId="12BB2DCD" w:rsidTr="003F10CB">
        <w:tc>
          <w:tcPr>
            <w:tcW w:w="3771" w:type="dxa"/>
            <w:vMerge/>
          </w:tcPr>
          <w:p w14:paraId="7FA3FB72" w14:textId="77777777" w:rsidR="00C14AE4" w:rsidRPr="00296092" w:rsidRDefault="00C14AE4" w:rsidP="00C05E3F">
            <w:pPr>
              <w:rPr>
                <w:lang w:val="fr-FR"/>
              </w:rPr>
            </w:pPr>
          </w:p>
        </w:tc>
        <w:tc>
          <w:tcPr>
            <w:tcW w:w="1787" w:type="dxa"/>
          </w:tcPr>
          <w:p w14:paraId="50F252C7" w14:textId="3F5054AE" w:rsidR="00C14AE4" w:rsidRPr="00296092" w:rsidRDefault="00C14AE4" w:rsidP="00C05E3F">
            <w:pPr>
              <w:rPr>
                <w:b/>
                <w:lang w:val="fr-FR"/>
              </w:rPr>
            </w:pPr>
            <w:r w:rsidRPr="00296092">
              <w:rPr>
                <w:b/>
                <w:lang w:val="fr-FR"/>
              </w:rPr>
              <w:t>Frais de carburant</w:t>
            </w:r>
          </w:p>
        </w:tc>
        <w:tc>
          <w:tcPr>
            <w:tcW w:w="7618" w:type="dxa"/>
          </w:tcPr>
          <w:p w14:paraId="671EF7E2" w14:textId="195B0F7C" w:rsidR="00C14AE4" w:rsidRPr="00296092" w:rsidRDefault="00C14AE4" w:rsidP="00C05E3F">
            <w:pPr>
              <w:rPr>
                <w:lang w:val="fr-FR"/>
              </w:rPr>
            </w:pPr>
            <w:r w:rsidRPr="00296092">
              <w:rPr>
                <w:lang w:val="fr-FR"/>
              </w:rPr>
              <w:t>Sont compris dans le montant du budget mobilité</w:t>
            </w:r>
          </w:p>
        </w:tc>
      </w:tr>
      <w:tr w:rsidR="00C14AE4" w:rsidRPr="00296092" w14:paraId="5C475EE4" w14:textId="2A1892C0" w:rsidTr="003F10CB">
        <w:tc>
          <w:tcPr>
            <w:tcW w:w="3771" w:type="dxa"/>
            <w:vMerge/>
          </w:tcPr>
          <w:p w14:paraId="4C83032A" w14:textId="77777777" w:rsidR="00C14AE4" w:rsidRPr="00296092" w:rsidRDefault="00C14AE4" w:rsidP="00C05E3F">
            <w:pPr>
              <w:rPr>
                <w:lang w:val="fr-FR"/>
              </w:rPr>
            </w:pPr>
          </w:p>
        </w:tc>
        <w:tc>
          <w:tcPr>
            <w:tcW w:w="1787" w:type="dxa"/>
          </w:tcPr>
          <w:p w14:paraId="591D39C6" w14:textId="07CD7314" w:rsidR="00C14AE4" w:rsidRPr="00296092" w:rsidRDefault="00C14AE4" w:rsidP="00C05E3F">
            <w:pPr>
              <w:rPr>
                <w:b/>
                <w:lang w:val="fr-FR"/>
              </w:rPr>
            </w:pPr>
            <w:r w:rsidRPr="00296092">
              <w:rPr>
                <w:b/>
                <w:lang w:val="fr-FR"/>
              </w:rPr>
              <w:t xml:space="preserve">Contribution personnelle </w:t>
            </w:r>
          </w:p>
        </w:tc>
        <w:tc>
          <w:tcPr>
            <w:tcW w:w="7618" w:type="dxa"/>
          </w:tcPr>
          <w:p w14:paraId="4272DFBF" w14:textId="27DA6835" w:rsidR="00C14AE4" w:rsidRPr="00296092" w:rsidRDefault="00C14AE4" w:rsidP="00C05E3F">
            <w:pPr>
              <w:rPr>
                <w:lang w:val="fr-FR"/>
              </w:rPr>
            </w:pPr>
            <w:r w:rsidRPr="00296092">
              <w:rPr>
                <w:lang w:val="fr-FR"/>
              </w:rPr>
              <w:t>Lorsque le travailleur paie une contribution personnelle pour sa voiture de société, le montant de cette contribution est</w:t>
            </w:r>
            <w:r w:rsidRPr="00296092">
              <w:rPr>
                <w:b/>
                <w:lang w:val="fr-FR"/>
              </w:rPr>
              <w:t xml:space="preserve"> déduit</w:t>
            </w:r>
            <w:r w:rsidRPr="00296092">
              <w:rPr>
                <w:lang w:val="fr-FR"/>
              </w:rPr>
              <w:t xml:space="preserve"> du budget mobilité.</w:t>
            </w:r>
          </w:p>
        </w:tc>
      </w:tr>
      <w:tr w:rsidR="00C14AE4" w:rsidRPr="00296092" w14:paraId="502659F2" w14:textId="4BFE8B70" w:rsidTr="003F10CB">
        <w:trPr>
          <w:trHeight w:val="1379"/>
        </w:trPr>
        <w:tc>
          <w:tcPr>
            <w:tcW w:w="3771" w:type="dxa"/>
            <w:vMerge w:val="restart"/>
          </w:tcPr>
          <w:p w14:paraId="6FA0D55B" w14:textId="51C9736E" w:rsidR="00C14AE4" w:rsidRPr="00296092" w:rsidRDefault="00C14AE4" w:rsidP="00C05E3F">
            <w:pPr>
              <w:rPr>
                <w:b/>
                <w:lang w:val="fr-FR"/>
              </w:rPr>
            </w:pPr>
            <w:r w:rsidRPr="00296092">
              <w:rPr>
                <w:b/>
                <w:lang w:val="fr-FR"/>
              </w:rPr>
              <w:t>TRAITEMENTSOCIAL</w:t>
            </w:r>
          </w:p>
        </w:tc>
        <w:tc>
          <w:tcPr>
            <w:tcW w:w="1787" w:type="dxa"/>
          </w:tcPr>
          <w:p w14:paraId="0825F401" w14:textId="4F752501" w:rsidR="00C14AE4" w:rsidRPr="00296092" w:rsidRDefault="00C14AE4" w:rsidP="00C05E3F">
            <w:pPr>
              <w:rPr>
                <w:b/>
                <w:lang w:val="fr-FR"/>
              </w:rPr>
            </w:pPr>
            <w:r w:rsidRPr="00296092">
              <w:rPr>
                <w:b/>
                <w:lang w:val="fr-FR"/>
              </w:rPr>
              <w:t>Travailleur</w:t>
            </w:r>
          </w:p>
        </w:tc>
        <w:tc>
          <w:tcPr>
            <w:tcW w:w="7618" w:type="dxa"/>
          </w:tcPr>
          <w:p w14:paraId="3DAAC829" w14:textId="6CE2972F" w:rsidR="00C14AE4" w:rsidRPr="00296092" w:rsidRDefault="00C14AE4" w:rsidP="00053D16">
            <w:pPr>
              <w:rPr>
                <w:lang w:val="fr-FR"/>
              </w:rPr>
            </w:pPr>
            <w:r w:rsidRPr="00296092">
              <w:rPr>
                <w:u w:val="single"/>
                <w:lang w:val="fr-FR"/>
              </w:rPr>
              <w:t>- Piliers 1 et 2</w:t>
            </w:r>
            <w:r w:rsidRPr="00296092">
              <w:rPr>
                <w:lang w:val="fr-FR"/>
              </w:rPr>
              <w:t> : pas de cotisations personnelles dans le chef du travailleur</w:t>
            </w:r>
          </w:p>
          <w:p w14:paraId="2576E038" w14:textId="556DC291" w:rsidR="00C14AE4" w:rsidRPr="00296092" w:rsidRDefault="00C14AE4" w:rsidP="00F27E93">
            <w:pPr>
              <w:rPr>
                <w:color w:val="FF0000"/>
                <w:lang w:val="fr-FR"/>
              </w:rPr>
            </w:pPr>
            <w:r w:rsidRPr="00296092">
              <w:rPr>
                <w:u w:val="single"/>
                <w:lang w:val="fr-FR"/>
              </w:rPr>
              <w:t>- Pilier 3</w:t>
            </w:r>
            <w:r w:rsidRPr="00296092">
              <w:rPr>
                <w:lang w:val="fr-FR"/>
              </w:rPr>
              <w:t xml:space="preserve"> : solde en salaire : exclu de la notion de rémunération mais une </w:t>
            </w:r>
            <w:r w:rsidRPr="00296092">
              <w:rPr>
                <w:b/>
                <w:lang w:val="fr-FR"/>
              </w:rPr>
              <w:t xml:space="preserve">cotisation spéciale </w:t>
            </w:r>
            <w:r w:rsidRPr="00296092">
              <w:rPr>
                <w:lang w:val="fr-FR"/>
              </w:rPr>
              <w:t xml:space="preserve">(cotisation sociale spécifique) </w:t>
            </w:r>
            <w:r w:rsidRPr="00296092">
              <w:rPr>
                <w:b/>
                <w:lang w:val="fr-FR"/>
              </w:rPr>
              <w:t>de 38,07 %</w:t>
            </w:r>
            <w:r w:rsidRPr="00296092">
              <w:rPr>
                <w:lang w:val="fr-FR"/>
              </w:rPr>
              <w:t xml:space="preserve"> (addition de 25 % de cotisations patronales et de 13,07 % de cotisations personnelles) est due par le travailleur. Le solde du pilier 3 est repris dans la base de calcul des prestations de sécurité sociale.</w:t>
            </w:r>
          </w:p>
        </w:tc>
      </w:tr>
      <w:tr w:rsidR="00C14AE4" w:rsidRPr="00296092" w14:paraId="6263284A" w14:textId="5C8491E5" w:rsidTr="003F10CB">
        <w:tc>
          <w:tcPr>
            <w:tcW w:w="3771" w:type="dxa"/>
            <w:vMerge/>
          </w:tcPr>
          <w:p w14:paraId="05D51B7F" w14:textId="77777777" w:rsidR="00C14AE4" w:rsidRPr="00296092" w:rsidRDefault="00C14AE4" w:rsidP="00C05E3F">
            <w:pPr>
              <w:rPr>
                <w:b/>
                <w:lang w:val="fr-FR"/>
              </w:rPr>
            </w:pPr>
          </w:p>
        </w:tc>
        <w:tc>
          <w:tcPr>
            <w:tcW w:w="1787" w:type="dxa"/>
          </w:tcPr>
          <w:p w14:paraId="5B8C7961" w14:textId="110D8A09" w:rsidR="00C14AE4" w:rsidRPr="00296092" w:rsidRDefault="00C14AE4" w:rsidP="00C05E3F">
            <w:pPr>
              <w:rPr>
                <w:b/>
                <w:lang w:val="fr-FR"/>
              </w:rPr>
            </w:pPr>
            <w:r w:rsidRPr="00296092">
              <w:rPr>
                <w:b/>
                <w:lang w:val="fr-FR"/>
              </w:rPr>
              <w:t>Employeur</w:t>
            </w:r>
          </w:p>
        </w:tc>
        <w:tc>
          <w:tcPr>
            <w:tcW w:w="7618" w:type="dxa"/>
          </w:tcPr>
          <w:p w14:paraId="1F145268" w14:textId="00C65043" w:rsidR="00C14AE4" w:rsidRPr="00296092" w:rsidRDefault="00C14AE4" w:rsidP="00815096">
            <w:pPr>
              <w:rPr>
                <w:lang w:val="fr-FR"/>
              </w:rPr>
            </w:pPr>
            <w:r w:rsidRPr="00296092">
              <w:rPr>
                <w:u w:val="single"/>
                <w:lang w:val="fr-FR"/>
              </w:rPr>
              <w:t>- Pilier 1</w:t>
            </w:r>
            <w:r w:rsidRPr="00296092">
              <w:rPr>
                <w:lang w:val="fr-FR"/>
              </w:rPr>
              <w:t> : pas de cotisations ordinaires de sécurité sociale mais même traitement que la voiture de société (</w:t>
            </w:r>
            <w:r w:rsidRPr="00296092">
              <w:rPr>
                <w:b/>
                <w:lang w:val="fr-FR"/>
              </w:rPr>
              <w:t xml:space="preserve">cotisation de solidarité </w:t>
            </w:r>
            <w:r w:rsidRPr="00296092">
              <w:rPr>
                <w:lang w:val="fr-FR"/>
              </w:rPr>
              <w:t>à charge de l’employeur) ;</w:t>
            </w:r>
          </w:p>
          <w:p w14:paraId="69AA210B" w14:textId="26B10B2E" w:rsidR="00C14AE4" w:rsidRPr="00296092" w:rsidRDefault="00C14AE4" w:rsidP="00815096">
            <w:pPr>
              <w:rPr>
                <w:lang w:val="fr-FR"/>
              </w:rPr>
            </w:pPr>
            <w:r w:rsidRPr="00296092">
              <w:rPr>
                <w:u w:val="single"/>
                <w:lang w:val="fr-FR"/>
              </w:rPr>
              <w:t>- Pilier 2</w:t>
            </w:r>
            <w:r w:rsidRPr="00296092">
              <w:rPr>
                <w:lang w:val="fr-FR"/>
              </w:rPr>
              <w:t> : pas de cotisations patronales</w:t>
            </w:r>
          </w:p>
          <w:p w14:paraId="096765F7" w14:textId="07B4C738" w:rsidR="00C14AE4" w:rsidRPr="00296092" w:rsidRDefault="00C14AE4" w:rsidP="007B3ACB">
            <w:pPr>
              <w:tabs>
                <w:tab w:val="left" w:pos="1356"/>
              </w:tabs>
              <w:rPr>
                <w:lang w:val="fr-FR"/>
              </w:rPr>
            </w:pPr>
            <w:r w:rsidRPr="00296092">
              <w:rPr>
                <w:u w:val="single"/>
                <w:lang w:val="fr-FR"/>
              </w:rPr>
              <w:t>- Pilier 3</w:t>
            </w:r>
            <w:r w:rsidRPr="00296092">
              <w:rPr>
                <w:lang w:val="fr-FR"/>
              </w:rPr>
              <w:t> : pas de cotisations patronales</w:t>
            </w:r>
          </w:p>
          <w:p w14:paraId="2DB29CB5" w14:textId="0D6A7BC9" w:rsidR="00C14AE4" w:rsidRPr="00296092" w:rsidRDefault="00C14AE4" w:rsidP="00815096">
            <w:pPr>
              <w:rPr>
                <w:lang w:val="fr-FR"/>
              </w:rPr>
            </w:pPr>
            <w:r w:rsidRPr="00296092">
              <w:rPr>
                <w:lang w:val="fr-FR"/>
              </w:rPr>
              <w:t>À titre d’information : le budget mobilité ne peut être qualifié de complément à un des avantages de sécurité sociale (pas d’application de l’article 45 de la loi O.N.S.S.).</w:t>
            </w:r>
          </w:p>
        </w:tc>
      </w:tr>
      <w:tr w:rsidR="00470A3E" w:rsidRPr="00296092" w14:paraId="32048729" w14:textId="3832A944" w:rsidTr="007124CD">
        <w:trPr>
          <w:trHeight w:val="1432"/>
        </w:trPr>
        <w:tc>
          <w:tcPr>
            <w:tcW w:w="3771" w:type="dxa"/>
          </w:tcPr>
          <w:p w14:paraId="6A5580B0" w14:textId="385E2126" w:rsidR="00470A3E" w:rsidRPr="00296092" w:rsidRDefault="00470A3E" w:rsidP="00C05E3F">
            <w:pPr>
              <w:rPr>
                <w:b/>
                <w:lang w:val="fr-FR"/>
              </w:rPr>
            </w:pPr>
            <w:r w:rsidRPr="00296092">
              <w:rPr>
                <w:b/>
                <w:lang w:val="fr-FR"/>
              </w:rPr>
              <w:t>TRAITEMENT FISCAL</w:t>
            </w:r>
          </w:p>
        </w:tc>
        <w:tc>
          <w:tcPr>
            <w:tcW w:w="9405" w:type="dxa"/>
            <w:gridSpan w:val="2"/>
          </w:tcPr>
          <w:p w14:paraId="00044AF9" w14:textId="7EA29C72" w:rsidR="00470A3E" w:rsidRPr="00296092" w:rsidRDefault="00470A3E" w:rsidP="00C05E3F">
            <w:pPr>
              <w:pStyle w:val="ListParagraph"/>
              <w:numPr>
                <w:ilvl w:val="0"/>
                <w:numId w:val="25"/>
              </w:numPr>
              <w:rPr>
                <w:lang w:val="fr-FR"/>
              </w:rPr>
            </w:pPr>
            <w:r w:rsidRPr="00296092">
              <w:rPr>
                <w:u w:val="single"/>
                <w:lang w:val="fr-FR"/>
              </w:rPr>
              <w:t>Pilier 1</w:t>
            </w:r>
            <w:r w:rsidRPr="00296092">
              <w:rPr>
                <w:lang w:val="fr-FR"/>
              </w:rPr>
              <w:t> : même traitement que la voiture de société ;</w:t>
            </w:r>
          </w:p>
          <w:p w14:paraId="22649EB3" w14:textId="3F58AEBC" w:rsidR="00470A3E" w:rsidRPr="00296092" w:rsidRDefault="00470A3E" w:rsidP="00C05E3F">
            <w:pPr>
              <w:pStyle w:val="ListParagraph"/>
              <w:numPr>
                <w:ilvl w:val="0"/>
                <w:numId w:val="25"/>
              </w:numPr>
              <w:rPr>
                <w:lang w:val="fr-FR"/>
              </w:rPr>
            </w:pPr>
            <w:r w:rsidRPr="00296092">
              <w:rPr>
                <w:u w:val="single"/>
                <w:lang w:val="fr-FR"/>
              </w:rPr>
              <w:t>Pilier 2</w:t>
            </w:r>
            <w:r w:rsidRPr="00296092">
              <w:rPr>
                <w:lang w:val="fr-FR"/>
              </w:rPr>
              <w:t> : exonération totale dans le chef du travailleur et déductibilité intégrale dans le chef de l’employeur</w:t>
            </w:r>
          </w:p>
          <w:p w14:paraId="79BC0DDB" w14:textId="534103E1" w:rsidR="00470A3E" w:rsidRPr="00296092" w:rsidRDefault="00470A3E" w:rsidP="007124CD">
            <w:pPr>
              <w:pStyle w:val="ListParagraph"/>
              <w:numPr>
                <w:ilvl w:val="0"/>
                <w:numId w:val="25"/>
              </w:numPr>
              <w:spacing w:after="0"/>
              <w:rPr>
                <w:lang w:val="fr-FR"/>
              </w:rPr>
            </w:pPr>
            <w:r w:rsidRPr="00296092">
              <w:rPr>
                <w:u w:val="single"/>
                <w:lang w:val="fr-FR"/>
              </w:rPr>
              <w:t>Pilier 3</w:t>
            </w:r>
            <w:r w:rsidRPr="00296092">
              <w:rPr>
                <w:lang w:val="fr-FR"/>
              </w:rPr>
              <w:t> : revenu professionnel, totalement exonéré d’impôt (art. 38, § 1</w:t>
            </w:r>
            <w:r w:rsidRPr="00296092">
              <w:rPr>
                <w:vertAlign w:val="superscript"/>
                <w:lang w:val="fr-FR"/>
              </w:rPr>
              <w:t>er</w:t>
            </w:r>
            <w:r w:rsidRPr="00296092">
              <w:rPr>
                <w:lang w:val="fr-FR"/>
              </w:rPr>
              <w:t>, alinéa premier, 33°, CIR) ; intégralement déductible à titre de frais professionnels dans le chef de l’employeur.</w:t>
            </w:r>
          </w:p>
        </w:tc>
      </w:tr>
      <w:tr w:rsidR="00355BD8" w:rsidRPr="00296092" w14:paraId="69D4B365" w14:textId="7487E58C" w:rsidTr="003F10CB">
        <w:tc>
          <w:tcPr>
            <w:tcW w:w="3771" w:type="dxa"/>
          </w:tcPr>
          <w:p w14:paraId="3AA08C46" w14:textId="6A42AD54" w:rsidR="00355BD8" w:rsidRPr="00296092" w:rsidRDefault="00355BD8" w:rsidP="00C05E3F">
            <w:pPr>
              <w:rPr>
                <w:b/>
                <w:lang w:val="fr-FR"/>
              </w:rPr>
            </w:pPr>
            <w:r w:rsidRPr="00296092">
              <w:rPr>
                <w:b/>
                <w:lang w:val="fr-FR"/>
              </w:rPr>
              <w:t>DURÉE DE L’OCTROI</w:t>
            </w:r>
          </w:p>
        </w:tc>
        <w:tc>
          <w:tcPr>
            <w:tcW w:w="9405" w:type="dxa"/>
            <w:gridSpan w:val="2"/>
          </w:tcPr>
          <w:p w14:paraId="25FE51FD" w14:textId="77777777" w:rsidR="00355BD8" w:rsidRPr="00296092" w:rsidRDefault="00355BD8" w:rsidP="00053D16">
            <w:pPr>
              <w:jc w:val="left"/>
              <w:rPr>
                <w:lang w:val="fr-FR"/>
              </w:rPr>
            </w:pPr>
            <w:r w:rsidRPr="00296092">
              <w:rPr>
                <w:lang w:val="fr-FR"/>
              </w:rPr>
              <w:t xml:space="preserve">Tant que le travailleur entre en considération pour une voiture de société conformément à la politique de son employeur en matière de voitures de société. </w:t>
            </w:r>
          </w:p>
          <w:p w14:paraId="70E29C44" w14:textId="2B0A547E" w:rsidR="00AC35D8" w:rsidRDefault="00355BD8" w:rsidP="00AC35D8">
            <w:pPr>
              <w:pStyle w:val="Streep"/>
              <w:rPr>
                <w:lang w:val="fr-FR"/>
              </w:rPr>
            </w:pPr>
            <w:r w:rsidRPr="00CF2824">
              <w:rPr>
                <w:lang w:val="fr-FR"/>
              </w:rPr>
              <w:t xml:space="preserve">L’octroi du budget mobilité </w:t>
            </w:r>
            <w:r w:rsidRPr="00CF2824">
              <w:rPr>
                <w:b/>
                <w:lang w:val="fr-FR"/>
              </w:rPr>
              <w:t>cesse</w:t>
            </w:r>
            <w:r w:rsidRPr="00CF2824">
              <w:rPr>
                <w:lang w:val="fr-FR"/>
              </w:rPr>
              <w:t xml:space="preserve"> au plus tard le premier jour du mois</w:t>
            </w:r>
            <w:r>
              <w:rPr>
                <w:lang w:val="fr-FR"/>
              </w:rPr>
              <w:t> </w:t>
            </w:r>
            <w:r w:rsidRPr="00260E12">
              <w:rPr>
                <w:lang w:val="fr-FR"/>
              </w:rPr>
              <w:t>au cours duquel le travailleur</w:t>
            </w:r>
          </w:p>
          <w:p w14:paraId="517BDA6D" w14:textId="200F5FE5" w:rsidR="00AC35D8" w:rsidRDefault="00355BD8" w:rsidP="007124CD">
            <w:pPr>
              <w:pStyle w:val="ListParagraph"/>
              <w:numPr>
                <w:ilvl w:val="0"/>
                <w:numId w:val="26"/>
              </w:numPr>
              <w:rPr>
                <w:lang w:val="fr-FR"/>
              </w:rPr>
            </w:pPr>
            <w:r w:rsidRPr="00AC35D8">
              <w:rPr>
                <w:lang w:val="fr-FR"/>
              </w:rPr>
              <w:t>exerce une fonction pour laque</w:t>
            </w:r>
            <w:r w:rsidR="000C4FD2" w:rsidRPr="00AC35D8">
              <w:rPr>
                <w:lang w:val="fr-FR"/>
              </w:rPr>
              <w:t>l</w:t>
            </w:r>
            <w:r w:rsidRPr="00AC35D8">
              <w:rPr>
                <w:lang w:val="fr-FR"/>
              </w:rPr>
              <w:t>le aucun droit à une voiture de société n’est prévu dans le système salarial de l’employeur</w:t>
            </w:r>
            <w:r w:rsidR="00AC35D8" w:rsidRPr="000B1EB3">
              <w:rPr>
                <w:lang w:val="fr-FR"/>
              </w:rPr>
              <w:t xml:space="preserve"> </w:t>
            </w:r>
          </w:p>
          <w:p w14:paraId="2BDDFCA2" w14:textId="08DEA08C" w:rsidR="00355BD8" w:rsidRPr="00AC35D8" w:rsidRDefault="00355BD8" w:rsidP="007124CD">
            <w:pPr>
              <w:pStyle w:val="ListParagraph"/>
              <w:numPr>
                <w:ilvl w:val="0"/>
                <w:numId w:val="37"/>
              </w:numPr>
              <w:rPr>
                <w:lang w:val="fr-FR"/>
              </w:rPr>
            </w:pPr>
            <w:r w:rsidRPr="00AC35D8">
              <w:rPr>
                <w:lang w:val="fr-FR"/>
              </w:rPr>
              <w:t xml:space="preserve">se voit octroyer une voiture de société (autre qu’une voiture respectueuse de l’environnement telle que visée dans le </w:t>
            </w:r>
            <w:r w:rsidR="00411568" w:rsidRPr="00AC35D8">
              <w:rPr>
                <w:lang w:val="fr-FR"/>
              </w:rPr>
              <w:t>pilier 1</w:t>
            </w:r>
            <w:r w:rsidR="001E3A79" w:rsidRPr="00AC35D8">
              <w:rPr>
                <w:lang w:val="fr-FR"/>
              </w:rPr>
              <w:t>)</w:t>
            </w:r>
          </w:p>
        </w:tc>
      </w:tr>
      <w:tr w:rsidR="00355BD8" w:rsidRPr="00296092" w14:paraId="4E32B13F" w14:textId="7E3195D6" w:rsidTr="003F10CB">
        <w:trPr>
          <w:trHeight w:val="1052"/>
        </w:trPr>
        <w:tc>
          <w:tcPr>
            <w:tcW w:w="3771" w:type="dxa"/>
            <w:vMerge w:val="restart"/>
          </w:tcPr>
          <w:p w14:paraId="72C1FFD7" w14:textId="5CAABC87" w:rsidR="00355BD8" w:rsidRPr="00296092" w:rsidRDefault="00355BD8" w:rsidP="00C05E3F">
            <w:pPr>
              <w:rPr>
                <w:b/>
                <w:lang w:val="fr-FR"/>
              </w:rPr>
            </w:pPr>
            <w:r w:rsidRPr="00296092">
              <w:rPr>
                <w:b/>
                <w:lang w:val="fr-FR"/>
              </w:rPr>
              <w:t xml:space="preserve"> </w:t>
            </w:r>
          </w:p>
        </w:tc>
        <w:tc>
          <w:tcPr>
            <w:tcW w:w="1787" w:type="dxa"/>
          </w:tcPr>
          <w:p w14:paraId="1780D40B" w14:textId="5FE7A0DF" w:rsidR="00355BD8" w:rsidRPr="00296092" w:rsidRDefault="00355BD8" w:rsidP="00C05E3F">
            <w:pPr>
              <w:rPr>
                <w:b/>
                <w:lang w:val="fr-FR"/>
              </w:rPr>
            </w:pPr>
            <w:r w:rsidRPr="00296092">
              <w:rPr>
                <w:b/>
                <w:lang w:val="fr-FR"/>
              </w:rPr>
              <w:t>Principe</w:t>
            </w:r>
          </w:p>
        </w:tc>
        <w:tc>
          <w:tcPr>
            <w:tcW w:w="7618" w:type="dxa"/>
          </w:tcPr>
          <w:p w14:paraId="44536411" w14:textId="25BF0128" w:rsidR="00355BD8" w:rsidRPr="00296092" w:rsidRDefault="00355BD8" w:rsidP="00C05E3F">
            <w:pPr>
              <w:pStyle w:val="Streep"/>
              <w:tabs>
                <w:tab w:val="clear" w:pos="360"/>
              </w:tabs>
              <w:ind w:left="0" w:firstLine="0"/>
              <w:rPr>
                <w:lang w:val="fr-FR"/>
              </w:rPr>
            </w:pPr>
            <w:r w:rsidRPr="00296092">
              <w:rPr>
                <w:b/>
                <w:lang w:val="fr-FR"/>
              </w:rPr>
              <w:t>Pas de cumul</w:t>
            </w:r>
            <w:r w:rsidRPr="00296092">
              <w:rPr>
                <w:lang w:val="fr-FR"/>
              </w:rPr>
              <w:t xml:space="preserve"> autorisé entre l’allocation de mobilité et les exonérations fiscales dans le cadre du paiement ou du remboursement des frais de déplacement entre le domicile et le lieu de travail.</w:t>
            </w:r>
          </w:p>
        </w:tc>
      </w:tr>
      <w:tr w:rsidR="00355BD8" w:rsidRPr="00296092" w14:paraId="7B9359CA" w14:textId="500A3515" w:rsidTr="003F10CB">
        <w:tc>
          <w:tcPr>
            <w:tcW w:w="3771" w:type="dxa"/>
            <w:vMerge/>
          </w:tcPr>
          <w:p w14:paraId="09C6AC42" w14:textId="77777777" w:rsidR="00355BD8" w:rsidRPr="00296092" w:rsidRDefault="00355BD8" w:rsidP="00C05E3F">
            <w:pPr>
              <w:rPr>
                <w:lang w:val="fr-FR"/>
              </w:rPr>
            </w:pPr>
          </w:p>
        </w:tc>
        <w:tc>
          <w:tcPr>
            <w:tcW w:w="1787" w:type="dxa"/>
          </w:tcPr>
          <w:p w14:paraId="25CB28CF" w14:textId="54137542" w:rsidR="00355BD8" w:rsidRPr="00296092" w:rsidRDefault="00355BD8" w:rsidP="00C05E3F">
            <w:pPr>
              <w:rPr>
                <w:b/>
                <w:lang w:val="fr-FR"/>
              </w:rPr>
            </w:pPr>
            <w:r w:rsidRPr="00296092">
              <w:rPr>
                <w:b/>
                <w:lang w:val="fr-FR"/>
              </w:rPr>
              <w:t>Exception</w:t>
            </w:r>
          </w:p>
        </w:tc>
        <w:tc>
          <w:tcPr>
            <w:tcW w:w="7618" w:type="dxa"/>
          </w:tcPr>
          <w:p w14:paraId="3C88A6E7" w14:textId="1DCF55D4" w:rsidR="00355BD8" w:rsidRPr="00296092" w:rsidRDefault="00355BD8" w:rsidP="00C05E3F">
            <w:pPr>
              <w:spacing w:after="0"/>
              <w:rPr>
                <w:lang w:val="fr-FR"/>
              </w:rPr>
            </w:pPr>
            <w:r w:rsidRPr="00296092">
              <w:rPr>
                <w:lang w:val="fr-FR"/>
              </w:rPr>
              <w:t>Cumul uniquement autorisé :</w:t>
            </w:r>
          </w:p>
          <w:p w14:paraId="6BA4E960" w14:textId="0CEA74BA" w:rsidR="00355BD8" w:rsidRPr="00296092" w:rsidRDefault="00355BD8" w:rsidP="00C05E3F">
            <w:pPr>
              <w:pStyle w:val="ListParagraph"/>
              <w:numPr>
                <w:ilvl w:val="0"/>
                <w:numId w:val="19"/>
              </w:numPr>
              <w:rPr>
                <w:lang w:val="fr-FR"/>
              </w:rPr>
            </w:pPr>
            <w:r w:rsidRPr="00296092">
              <w:rPr>
                <w:lang w:val="fr-FR"/>
              </w:rPr>
              <w:t xml:space="preserve">avec </w:t>
            </w:r>
            <w:r w:rsidRPr="00296092">
              <w:rPr>
                <w:b/>
                <w:lang w:val="fr-FR"/>
              </w:rPr>
              <w:t>l’exonération fiscale pour « autres moyens de transport »</w:t>
            </w:r>
            <w:r w:rsidRPr="00296092">
              <w:rPr>
                <w:lang w:val="fr-FR"/>
              </w:rPr>
              <w:t xml:space="preserve"> (4</w:t>
            </w:r>
            <w:r w:rsidR="009E0FD9">
              <w:rPr>
                <w:lang w:val="fr-FR"/>
              </w:rPr>
              <w:t>7</w:t>
            </w:r>
            <w:r w:rsidRPr="00296092">
              <w:rPr>
                <w:lang w:val="fr-FR"/>
              </w:rPr>
              <w:t>0 euros pour l’année des revenus 20</w:t>
            </w:r>
            <w:r w:rsidR="00AC35D8">
              <w:rPr>
                <w:lang w:val="fr-FR"/>
              </w:rPr>
              <w:t>2</w:t>
            </w:r>
            <w:r w:rsidR="009E0FD9">
              <w:rPr>
                <w:lang w:val="fr-FR"/>
              </w:rPr>
              <w:t>3</w:t>
            </w:r>
            <w:r w:rsidRPr="00296092">
              <w:rPr>
                <w:lang w:val="fr-FR"/>
              </w:rPr>
              <w:t>) ;</w:t>
            </w:r>
          </w:p>
          <w:p w14:paraId="7DE955F3" w14:textId="2A3DEF7F" w:rsidR="00355BD8" w:rsidRPr="00296092" w:rsidRDefault="00355BD8" w:rsidP="00C05E3F">
            <w:pPr>
              <w:pStyle w:val="ListParagraph"/>
              <w:numPr>
                <w:ilvl w:val="0"/>
                <w:numId w:val="19"/>
              </w:numPr>
              <w:rPr>
                <w:lang w:val="fr-FR"/>
              </w:rPr>
            </w:pPr>
            <w:r w:rsidRPr="00296092">
              <w:rPr>
                <w:lang w:val="fr-FR"/>
              </w:rPr>
              <w:t xml:space="preserve">si le travailleur bénéficiait précédemment de l’avantage d’une voiture de société et </w:t>
            </w:r>
            <w:r w:rsidRPr="00296092">
              <w:rPr>
                <w:b/>
                <w:lang w:val="fr-FR"/>
              </w:rPr>
              <w:t xml:space="preserve">recevait simultanément, durant au moins 3 mois précédant </w:t>
            </w:r>
            <w:r w:rsidRPr="00296092">
              <w:rPr>
                <w:lang w:val="fr-FR"/>
              </w:rPr>
              <w:t>la demande d’allocation de mobilité</w:t>
            </w:r>
            <w:r w:rsidRPr="00296092">
              <w:rPr>
                <w:b/>
                <w:lang w:val="fr-FR"/>
              </w:rPr>
              <w:t>, une indemnité pour ses déplacements domicile-lieu de travail</w:t>
            </w:r>
            <w:r w:rsidRPr="00296092">
              <w:rPr>
                <w:lang w:val="fr-FR"/>
              </w:rPr>
              <w:t xml:space="preserve"> donnant droit à une des exonérations précitées (voir Principe).</w:t>
            </w:r>
          </w:p>
        </w:tc>
      </w:tr>
      <w:tr w:rsidR="00355BD8" w:rsidRPr="00296092" w14:paraId="77BA0187" w14:textId="2957154F" w:rsidTr="003F10CB">
        <w:tc>
          <w:tcPr>
            <w:tcW w:w="3771" w:type="dxa"/>
          </w:tcPr>
          <w:p w14:paraId="33548392" w14:textId="6B1E8118" w:rsidR="00355BD8" w:rsidRPr="00296092" w:rsidRDefault="00355BD8" w:rsidP="00C05E3F">
            <w:pPr>
              <w:rPr>
                <w:b/>
                <w:lang w:val="fr-FR"/>
              </w:rPr>
            </w:pPr>
            <w:r w:rsidRPr="00296092">
              <w:rPr>
                <w:b/>
                <w:lang w:val="fr-FR"/>
              </w:rPr>
              <w:t>PLURALITÉ DE VOITURES DE SOCIÉTÉ AU MÊME MOMENT</w:t>
            </w:r>
          </w:p>
        </w:tc>
        <w:tc>
          <w:tcPr>
            <w:tcW w:w="9405" w:type="dxa"/>
            <w:gridSpan w:val="2"/>
          </w:tcPr>
          <w:p w14:paraId="0484F610" w14:textId="787B3738" w:rsidR="00355BD8" w:rsidRPr="00296092" w:rsidRDefault="00355BD8" w:rsidP="00C05E3F">
            <w:pPr>
              <w:rPr>
                <w:lang w:val="fr-FR"/>
              </w:rPr>
            </w:pPr>
            <w:r>
              <w:rPr>
                <w:lang w:val="fr-FR"/>
              </w:rPr>
              <w:t>Lorsque le travailleur dispose de plusieurs voitures de société auprès du même employeur, une seule voiture de société peut être restituée pour bénéficier d’un budget de mobilité. La restitution d’autres voitures de société ne peut donner droit à un budget de mobilité supplémentaire.</w:t>
            </w:r>
            <w:r w:rsidRPr="00296092">
              <w:rPr>
                <w:lang w:val="fr-FR"/>
              </w:rPr>
              <w:t xml:space="preserve">. </w:t>
            </w:r>
            <w:r>
              <w:rPr>
                <w:lang w:val="fr-FR"/>
              </w:rPr>
              <w:t>Donc p</w:t>
            </w:r>
            <w:r w:rsidRPr="00296092">
              <w:rPr>
                <w:lang w:val="fr-FR"/>
              </w:rPr>
              <w:t>as de deuxième budget mobilité.</w:t>
            </w:r>
          </w:p>
        </w:tc>
      </w:tr>
      <w:tr w:rsidR="00355BD8" w:rsidRPr="00296092" w14:paraId="4820F393" w14:textId="7BE0811A" w:rsidTr="003F10CB">
        <w:trPr>
          <w:trHeight w:val="1016"/>
        </w:trPr>
        <w:tc>
          <w:tcPr>
            <w:tcW w:w="3771" w:type="dxa"/>
          </w:tcPr>
          <w:p w14:paraId="7F0B428F" w14:textId="42277E02" w:rsidR="00355BD8" w:rsidRPr="00296092" w:rsidRDefault="00355BD8" w:rsidP="00C05E3F">
            <w:pPr>
              <w:rPr>
                <w:b/>
                <w:lang w:val="fr-FR"/>
              </w:rPr>
            </w:pPr>
            <w:r w:rsidRPr="00296092">
              <w:rPr>
                <w:b/>
                <w:lang w:val="fr-FR"/>
              </w:rPr>
              <w:t>ALLOCATION DE MOBILITÉ/BUDGET MOBILITÉ</w:t>
            </w:r>
            <w:r w:rsidRPr="00296092">
              <w:rPr>
                <w:b/>
                <w:color w:val="00B050"/>
                <w:lang w:val="fr-FR"/>
              </w:rPr>
              <w:t xml:space="preserve"> </w:t>
            </w:r>
            <w:r w:rsidRPr="00296092">
              <w:rPr>
                <w:b/>
                <w:lang w:val="fr-FR"/>
              </w:rPr>
              <w:t>ET DROIT DU TRAVAIL</w:t>
            </w:r>
          </w:p>
        </w:tc>
        <w:tc>
          <w:tcPr>
            <w:tcW w:w="9405" w:type="dxa"/>
            <w:gridSpan w:val="2"/>
          </w:tcPr>
          <w:p w14:paraId="79F0929C" w14:textId="4CC11B8C" w:rsidR="00355BD8" w:rsidRPr="00296092" w:rsidRDefault="00355BD8" w:rsidP="007B26F9">
            <w:pPr>
              <w:rPr>
                <w:lang w:val="fr-FR"/>
              </w:rPr>
            </w:pPr>
            <w:r w:rsidRPr="00296092">
              <w:rPr>
                <w:rFonts w:ascii="HelveticaLTStd-Roman" w:hAnsi="HelveticaLTStd-Roman"/>
                <w:b/>
                <w:lang w:val="fr-FR"/>
              </w:rPr>
              <w:t>Aucun droit</w:t>
            </w:r>
            <w:r w:rsidRPr="00296092">
              <w:rPr>
                <w:rFonts w:ascii="HelveticaLTStd-Roman" w:hAnsi="HelveticaLTStd-Roman"/>
                <w:lang w:val="fr-FR"/>
              </w:rPr>
              <w:t xml:space="preserve"> ne peut être tiré du budget mobilité, </w:t>
            </w:r>
            <w:r w:rsidRPr="00296092">
              <w:rPr>
                <w:rFonts w:ascii="HelveticaLTStd-Roman" w:hAnsi="HelveticaLTStd-Roman"/>
                <w:b/>
                <w:lang w:val="fr-FR"/>
              </w:rPr>
              <w:t>si ce n’est le droit à son octroi</w:t>
            </w:r>
            <w:r w:rsidRPr="00296092">
              <w:rPr>
                <w:rFonts w:ascii="HelveticaLTStd-Roman" w:hAnsi="HelveticaLTStd-Roman"/>
                <w:lang w:val="fr-FR"/>
              </w:rPr>
              <w:t xml:space="preserve"> par l’employeur.</w:t>
            </w:r>
          </w:p>
          <w:p w14:paraId="7FF8400E" w14:textId="77777777" w:rsidR="00355BD8" w:rsidRPr="00296092" w:rsidRDefault="00355BD8" w:rsidP="007B26F9">
            <w:pPr>
              <w:rPr>
                <w:lang w:val="fr-FR"/>
              </w:rPr>
            </w:pPr>
            <w:r w:rsidRPr="00296092">
              <w:rPr>
                <w:lang w:val="fr-FR"/>
              </w:rPr>
              <w:t xml:space="preserve">MAIS pour l’application des obligations salariales de l’employeur, le budget mobilité est </w:t>
            </w:r>
            <w:r w:rsidRPr="00296092">
              <w:rPr>
                <w:b/>
                <w:lang w:val="fr-FR"/>
              </w:rPr>
              <w:t>traité de la même manière que l’avantage en nature résultant de l’utilisation de la voiture de société à des fins privées</w:t>
            </w:r>
            <w:r w:rsidRPr="00296092">
              <w:rPr>
                <w:lang w:val="fr-FR"/>
              </w:rPr>
              <w:t>.</w:t>
            </w:r>
          </w:p>
          <w:p w14:paraId="7FA499AB" w14:textId="74BB3C02" w:rsidR="00355BD8" w:rsidRPr="00296092" w:rsidRDefault="00355BD8" w:rsidP="007B26F9">
            <w:pPr>
              <w:rPr>
                <w:lang w:val="fr-FR"/>
              </w:rPr>
            </w:pPr>
            <w:r w:rsidRPr="00296092">
              <w:rPr>
                <w:lang w:val="fr-FR"/>
              </w:rPr>
              <w:t>Le budget mobilité peut être instauré en remplacement ou en conversion (totale ou partielle) de la voiture de société même ou des avantages reçus antérieurement en compensation du refus d’une voiture de société.</w:t>
            </w:r>
          </w:p>
          <w:p w14:paraId="316207BA" w14:textId="4273EF97" w:rsidR="00355BD8" w:rsidRPr="00296092" w:rsidRDefault="00355BD8" w:rsidP="007B26F9">
            <w:pPr>
              <w:rPr>
                <w:rFonts w:ascii="HelveticaLTStd-Roman" w:hAnsi="HelveticaLTStd-Roman"/>
                <w:lang w:val="fr-FR"/>
              </w:rPr>
            </w:pPr>
            <w:r w:rsidRPr="00296092">
              <w:rPr>
                <w:lang w:val="fr-FR"/>
              </w:rPr>
              <w:t>Cette disposition permet au travailleur de passer d’un régime à l’autre (p.ex. échanger la voiture contre une allocation de mobilité pour passer ensuite à un budget mobilité). Le travailleur ne peut cependant jamais percevoir en même temps une allocation de mobilité et un budget mobilité pour le même véhicule auprès du même employeur.</w:t>
            </w:r>
          </w:p>
        </w:tc>
      </w:tr>
      <w:tr w:rsidR="00355BD8" w:rsidRPr="00296092" w14:paraId="4B5C2997" w14:textId="18CF4A8E" w:rsidTr="003F10CB">
        <w:tc>
          <w:tcPr>
            <w:tcW w:w="3771" w:type="dxa"/>
          </w:tcPr>
          <w:p w14:paraId="45C88811" w14:textId="29B46757" w:rsidR="00355BD8" w:rsidRPr="00296092" w:rsidRDefault="00355BD8" w:rsidP="00C05E3F">
            <w:pPr>
              <w:rPr>
                <w:b/>
                <w:lang w:val="fr-FR"/>
              </w:rPr>
            </w:pPr>
            <w:r w:rsidRPr="00296092">
              <w:rPr>
                <w:b/>
                <w:lang w:val="fr-FR"/>
              </w:rPr>
              <w:t>SANCTIONS</w:t>
            </w:r>
          </w:p>
        </w:tc>
        <w:tc>
          <w:tcPr>
            <w:tcW w:w="9405" w:type="dxa"/>
            <w:gridSpan w:val="2"/>
          </w:tcPr>
          <w:p w14:paraId="62BE9771" w14:textId="4DFA15DB" w:rsidR="00355BD8" w:rsidRPr="00296092" w:rsidRDefault="00355BD8" w:rsidP="00C05E3F">
            <w:pPr>
              <w:pStyle w:val="ListParagraph"/>
              <w:numPr>
                <w:ilvl w:val="0"/>
                <w:numId w:val="18"/>
              </w:numPr>
              <w:rPr>
                <w:rFonts w:ascii="HelveticaLTStd-Roman" w:hAnsi="HelveticaLTStd-Roman" w:cs="HelveticaLTStd-Roman"/>
                <w:lang w:val="fr-FR"/>
              </w:rPr>
            </w:pPr>
            <w:r w:rsidRPr="00296092">
              <w:rPr>
                <w:rFonts w:ascii="HelveticaLTStd-Roman" w:hAnsi="HelveticaLTStd-Roman"/>
                <w:lang w:val="fr-FR"/>
              </w:rPr>
              <w:t>Utilisation en dehors du cadre légal : l’allocation de mobilité sera considérée comme de la rémunération ordinaire (p. ex. la carte carburant, l’assurance voiture, l’indemnité de déplacement… continuent à être octroyées, ou le véhicule de service est utilisé pour effectuer des déplacements privés…). Dans ce cas, plus de traitement social ni de traitement fiscal avantageux.</w:t>
            </w:r>
          </w:p>
          <w:p w14:paraId="1B9275A6" w14:textId="55D3C748" w:rsidR="00355BD8" w:rsidRPr="00296092" w:rsidRDefault="00355BD8" w:rsidP="00C05E3F">
            <w:pPr>
              <w:pStyle w:val="ListParagraph"/>
              <w:numPr>
                <w:ilvl w:val="0"/>
                <w:numId w:val="18"/>
              </w:numPr>
              <w:rPr>
                <w:rFonts w:ascii="HelveticaLTStd-Roman" w:hAnsi="HelveticaLTStd-Roman" w:cs="HelveticaLTStd-Roman"/>
                <w:lang w:val="fr-FR"/>
              </w:rPr>
            </w:pPr>
            <w:r w:rsidRPr="00296092">
              <w:rPr>
                <w:rFonts w:ascii="HelveticaLTStd-Roman" w:hAnsi="HelveticaLTStd-Roman"/>
                <w:lang w:val="fr-FR"/>
              </w:rPr>
              <w:t>Infraction à la réglementation sur les documents sociaux : sanctions prévues dans le Code pénal social.</w:t>
            </w:r>
          </w:p>
          <w:p w14:paraId="0711A7B9" w14:textId="0E255997" w:rsidR="00355BD8" w:rsidRPr="00296092" w:rsidRDefault="00355BD8" w:rsidP="00C05E3F">
            <w:pPr>
              <w:pStyle w:val="ListParagraph"/>
              <w:numPr>
                <w:ilvl w:val="0"/>
                <w:numId w:val="18"/>
              </w:numPr>
              <w:rPr>
                <w:rFonts w:ascii="HelveticaLTStd-Roman" w:hAnsi="HelveticaLTStd-Roman" w:cs="HelveticaLTStd-Roman"/>
                <w:lang w:val="fr-FR"/>
              </w:rPr>
            </w:pPr>
            <w:r w:rsidRPr="00296092">
              <w:rPr>
                <w:rFonts w:ascii="HelveticaLTStd-Roman" w:hAnsi="HelveticaLTStd-Roman"/>
                <w:lang w:val="fr-FR"/>
              </w:rPr>
              <w:t>Traitement social et traitement fiscal non respectés : sanctions prévues dans les réglementations sociale et fiscale.</w:t>
            </w:r>
          </w:p>
        </w:tc>
      </w:tr>
    </w:tbl>
    <w:p w14:paraId="6F85C13D" w14:textId="2696EA9A" w:rsidR="00A52859" w:rsidRPr="00296092" w:rsidRDefault="002355EF" w:rsidP="002355EF">
      <w:pPr>
        <w:rPr>
          <w:lang w:val="fr-FR"/>
        </w:rPr>
      </w:pPr>
      <w:r w:rsidRPr="00296092">
        <w:rPr>
          <w:lang w:val="fr-FR"/>
        </w:rPr>
        <w:t>* Montant sur une base annuelle. Celui-ci doit en principe être divisé par 12 dans le cadre du traitement mensuel des salaires.</w:t>
      </w:r>
    </w:p>
    <w:sectPr w:rsidR="00A52859" w:rsidRPr="00296092" w:rsidSect="008614C0">
      <w:headerReference w:type="even" r:id="rId11"/>
      <w:headerReference w:type="default" r:id="rId12"/>
      <w:footerReference w:type="default" r:id="rId13"/>
      <w:headerReference w:type="first" r:id="rId14"/>
      <w:pgSz w:w="16838" w:h="23811" w:code="8"/>
      <w:pgMar w:top="1417" w:right="1560" w:bottom="1417"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E910" w14:textId="77777777" w:rsidR="000D038B" w:rsidRDefault="000D038B" w:rsidP="00370459">
      <w:pPr>
        <w:spacing w:after="0"/>
      </w:pPr>
      <w:r>
        <w:separator/>
      </w:r>
    </w:p>
  </w:endnote>
  <w:endnote w:type="continuationSeparator" w:id="0">
    <w:p w14:paraId="4FCF8E39" w14:textId="77777777" w:rsidR="000D038B" w:rsidRDefault="000D038B" w:rsidP="00370459">
      <w:pPr>
        <w:spacing w:after="0"/>
      </w:pPr>
      <w:r>
        <w:continuationSeparator/>
      </w:r>
    </w:p>
  </w:endnote>
  <w:endnote w:type="continuationNotice" w:id="1">
    <w:p w14:paraId="774F15BC" w14:textId="77777777" w:rsidR="000D038B" w:rsidRDefault="000D0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2163"/>
      <w:gridCol w:w="7230"/>
    </w:tblGrid>
    <w:tr w:rsidR="00E1117C" w:rsidRPr="004F2680" w14:paraId="4B7B3C3F" w14:textId="77777777" w:rsidTr="005552A1">
      <w:trPr>
        <w:trHeight w:val="700"/>
      </w:trPr>
      <w:tc>
        <w:tcPr>
          <w:tcW w:w="2163" w:type="dxa"/>
          <w:tcBorders>
            <w:top w:val="single" w:sz="6" w:space="0" w:color="000000"/>
            <w:left w:val="single" w:sz="6" w:space="0" w:color="000000"/>
            <w:bottom w:val="single" w:sz="6" w:space="0" w:color="000000"/>
            <w:right w:val="single" w:sz="6" w:space="0" w:color="000000"/>
          </w:tcBorders>
        </w:tcPr>
        <w:p w14:paraId="3BE9CF5B" w14:textId="77777777" w:rsidR="00E1117C" w:rsidRPr="00926E91" w:rsidRDefault="00E1117C" w:rsidP="00E1117C">
          <w:pPr>
            <w:tabs>
              <w:tab w:val="left" w:pos="-906"/>
              <w:tab w:val="left" w:pos="4905"/>
              <w:tab w:val="left" w:pos="7457"/>
            </w:tabs>
            <w:autoSpaceDE w:val="0"/>
            <w:autoSpaceDN w:val="0"/>
            <w:adjustRightInd w:val="0"/>
            <w:spacing w:before="120"/>
            <w:rPr>
              <w:rFonts w:ascii="Tms Rmn" w:hAnsi="Tms Rmn"/>
              <w:sz w:val="24"/>
              <w:szCs w:val="24"/>
            </w:rPr>
          </w:pPr>
          <w:r>
            <w:rPr>
              <w:rFonts w:ascii="Tms Rmn" w:hAnsi="Tms Rmn"/>
              <w:noProof/>
              <w:sz w:val="24"/>
              <w:szCs w:val="24"/>
            </w:rPr>
            <w:drawing>
              <wp:inline distT="0" distB="0" distL="0" distR="0" wp14:anchorId="368EDA71" wp14:editId="215EFE57">
                <wp:extent cx="1171575" cy="276225"/>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71575" cy="276225"/>
                        </a:xfrm>
                        <a:prstGeom prst="rect">
                          <a:avLst/>
                        </a:prstGeom>
                        <a:noFill/>
                        <a:ln w="9525">
                          <a:noFill/>
                          <a:miter lim="800000"/>
                          <a:headEnd/>
                          <a:tailEnd/>
                        </a:ln>
                      </pic:spPr>
                    </pic:pic>
                  </a:graphicData>
                </a:graphic>
              </wp:inline>
            </w:drawing>
          </w:r>
        </w:p>
      </w:tc>
      <w:tc>
        <w:tcPr>
          <w:tcW w:w="7230" w:type="dxa"/>
          <w:tcBorders>
            <w:top w:val="single" w:sz="6" w:space="0" w:color="000000"/>
            <w:left w:val="single" w:sz="6" w:space="0" w:color="000000"/>
            <w:bottom w:val="single" w:sz="6" w:space="0" w:color="000000"/>
            <w:right w:val="single" w:sz="6" w:space="0" w:color="000000"/>
          </w:tcBorders>
          <w:vAlign w:val="center"/>
        </w:tcPr>
        <w:p w14:paraId="7D128B69" w14:textId="7C01A58F" w:rsidR="00E1117C" w:rsidRPr="00926E91" w:rsidRDefault="00E1117C" w:rsidP="00BB7DD5">
          <w:pPr>
            <w:autoSpaceDE w:val="0"/>
            <w:autoSpaceDN w:val="0"/>
            <w:adjustRightInd w:val="0"/>
            <w:spacing w:after="0"/>
            <w:jc w:val="left"/>
            <w:rPr>
              <w:rFonts w:cs="Arial"/>
              <w:color w:val="000000"/>
              <w:sz w:val="16"/>
              <w:szCs w:val="16"/>
            </w:rPr>
          </w:pPr>
          <w:r>
            <w:rPr>
              <w:color w:val="000000"/>
              <w:sz w:val="16"/>
              <w:szCs w:val="16"/>
            </w:rPr>
            <w:t xml:space="preserve">Cette information a été rédigée par le Legal </w:t>
          </w:r>
          <w:r w:rsidR="00BB7DD5">
            <w:rPr>
              <w:color w:val="000000"/>
              <w:sz w:val="16"/>
              <w:szCs w:val="16"/>
            </w:rPr>
            <w:t>Center</w:t>
          </w:r>
          <w:r>
            <w:rPr>
              <w:color w:val="000000"/>
              <w:sz w:val="16"/>
              <w:szCs w:val="16"/>
            </w:rPr>
            <w:t xml:space="preserve"> du Secrétariat social Securex</w:t>
          </w:r>
        </w:p>
      </w:tc>
    </w:tr>
  </w:tbl>
  <w:p w14:paraId="51C31587" w14:textId="77777777" w:rsidR="00370459" w:rsidRPr="00370459" w:rsidRDefault="00370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C988" w14:textId="77777777" w:rsidR="000D038B" w:rsidRDefault="000D038B" w:rsidP="00370459">
      <w:pPr>
        <w:spacing w:after="0"/>
      </w:pPr>
      <w:r>
        <w:separator/>
      </w:r>
    </w:p>
  </w:footnote>
  <w:footnote w:type="continuationSeparator" w:id="0">
    <w:p w14:paraId="1D206BA1" w14:textId="77777777" w:rsidR="000D038B" w:rsidRDefault="000D038B" w:rsidP="00370459">
      <w:pPr>
        <w:spacing w:after="0"/>
      </w:pPr>
      <w:r>
        <w:continuationSeparator/>
      </w:r>
    </w:p>
  </w:footnote>
  <w:footnote w:type="continuationNotice" w:id="1">
    <w:p w14:paraId="1542B245" w14:textId="77777777" w:rsidR="000D038B" w:rsidRDefault="000D038B">
      <w:pPr>
        <w:spacing w:after="0"/>
      </w:pPr>
    </w:p>
  </w:footnote>
  <w:footnote w:id="2">
    <w:p w14:paraId="394ACFAE" w14:textId="5C5CA80D" w:rsidR="009643E2" w:rsidRPr="0068336C" w:rsidRDefault="009643E2">
      <w:pPr>
        <w:pStyle w:val="FootnoteText"/>
      </w:pPr>
      <w:r w:rsidRPr="006400F6">
        <w:rPr>
          <w:rStyle w:val="FootnoteReference"/>
          <w:szCs w:val="16"/>
        </w:rPr>
        <w:footnoteRef/>
      </w:r>
      <w:r w:rsidRPr="006400F6">
        <w:rPr>
          <w:szCs w:val="16"/>
        </w:rPr>
        <w:t xml:space="preserve"> A partir du 1er janvier 2026, </w:t>
      </w:r>
      <w:r w:rsidR="006400F6">
        <w:rPr>
          <w:szCs w:val="16"/>
        </w:rPr>
        <w:t xml:space="preserve">la </w:t>
      </w:r>
      <w:r w:rsidR="00FE1A30">
        <w:rPr>
          <w:szCs w:val="16"/>
        </w:rPr>
        <w:t xml:space="preserve">définition de la </w:t>
      </w:r>
      <w:r w:rsidR="006400F6" w:rsidRPr="007124CD">
        <w:t xml:space="preserve">voiture de société respectueuse de l'environnement sera </w:t>
      </w:r>
      <w:r w:rsidR="00FE1A30">
        <w:t xml:space="preserve">limitée à </w:t>
      </w:r>
      <w:r w:rsidR="006400F6" w:rsidRPr="007124CD">
        <w:t>la voiture sans émission de CO2.</w:t>
      </w:r>
    </w:p>
  </w:footnote>
  <w:footnote w:id="3">
    <w:p w14:paraId="671A84A2" w14:textId="35A7C8F6" w:rsidR="00B36302" w:rsidRPr="0051567C" w:rsidRDefault="00835861" w:rsidP="00B36302">
      <w:pPr>
        <w:pStyle w:val="FootnoteText"/>
      </w:pPr>
      <w:r>
        <w:rPr>
          <w:rStyle w:val="FootnoteReference"/>
        </w:rPr>
        <w:footnoteRef/>
      </w:r>
      <w:r>
        <w:t xml:space="preserve"> </w:t>
      </w:r>
      <w:r w:rsidR="00B36302">
        <w:t xml:space="preserve">Montant indexé </w:t>
      </w:r>
      <w:r w:rsidR="009E0FD9">
        <w:t>à partir du</w:t>
      </w:r>
      <w:r w:rsidR="00B36302">
        <w:t xml:space="preserve"> 1er janvier 2021.</w:t>
      </w:r>
    </w:p>
    <w:p w14:paraId="201B1864" w14:textId="3F16E144" w:rsidR="00835861" w:rsidRDefault="008358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529B" w14:textId="77777777" w:rsidR="004F2680" w:rsidRDefault="000D038B">
    <w:pPr>
      <w:pStyle w:val="Header"/>
    </w:pPr>
    <w:r>
      <w:pict w14:anchorId="79B06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3" o:spid="_x0000_s1027" type="#_x0000_t75" style="position:absolute;left:0;text-align:left;margin-left:0;margin-top:0;width:453.55pt;height:183.05pt;z-index:-251658239;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4CC4" w14:textId="77777777" w:rsidR="004F2680" w:rsidRDefault="000D038B">
    <w:pPr>
      <w:pStyle w:val="Header"/>
    </w:pPr>
    <w:r>
      <w:pict w14:anchorId="7FAD5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4" o:spid="_x0000_s1028" type="#_x0000_t75" style="position:absolute;left:0;text-align:left;margin-left:0;margin-top:0;width:453.55pt;height:183.05pt;z-index:-251658238;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18AA" w14:textId="77777777" w:rsidR="004F2680" w:rsidRDefault="000D038B">
    <w:pPr>
      <w:pStyle w:val="Header"/>
    </w:pPr>
    <w:r>
      <w:pict w14:anchorId="0FE95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6432" o:spid="_x0000_s1026" type="#_x0000_t75" style="position:absolute;left:0;text-align:left;margin-left:0;margin-top:0;width:453.55pt;height:183.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F0C"/>
    <w:multiLevelType w:val="hybridMultilevel"/>
    <w:tmpl w:val="EE329D64"/>
    <w:lvl w:ilvl="0" w:tplc="FFFFFFFF">
      <w:start w:val="1"/>
      <w:numFmt w:val="bullet"/>
      <w:pStyle w:val="HINTOC"/>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60C8B"/>
    <w:multiLevelType w:val="hybridMultilevel"/>
    <w:tmpl w:val="D04EB4DE"/>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05A22"/>
    <w:multiLevelType w:val="hybridMultilevel"/>
    <w:tmpl w:val="1E38B09A"/>
    <w:lvl w:ilvl="0" w:tplc="1BD4F8D0">
      <w:numFmt w:val="bullet"/>
      <w:lvlText w:val="-"/>
      <w:lvlJc w:val="left"/>
      <w:pPr>
        <w:ind w:left="720" w:hanging="360"/>
      </w:pPr>
      <w:rPr>
        <w:rFonts w:ascii="HelveticaLTStd-Roman" w:eastAsia="Times New Roman" w:hAnsi="HelveticaLTStd-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CB308E"/>
    <w:multiLevelType w:val="hybridMultilevel"/>
    <w:tmpl w:val="D4F69A52"/>
    <w:lvl w:ilvl="0" w:tplc="FFFFFFFF">
      <w:start w:val="1"/>
      <w:numFmt w:val="bullet"/>
      <w:lvlText w:val=""/>
      <w:lvlJc w:val="left"/>
      <w:pPr>
        <w:tabs>
          <w:tab w:val="num" w:pos="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82A99"/>
    <w:multiLevelType w:val="hybridMultilevel"/>
    <w:tmpl w:val="BB925CAA"/>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05776"/>
    <w:multiLevelType w:val="hybridMultilevel"/>
    <w:tmpl w:val="42E6F556"/>
    <w:lvl w:ilvl="0" w:tplc="281412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C1071C"/>
    <w:multiLevelType w:val="hybridMultilevel"/>
    <w:tmpl w:val="F9A01110"/>
    <w:lvl w:ilvl="0" w:tplc="1BD4F8D0">
      <w:numFmt w:val="bullet"/>
      <w:lvlText w:val="-"/>
      <w:lvlJc w:val="left"/>
      <w:pPr>
        <w:ind w:left="780" w:hanging="360"/>
      </w:pPr>
      <w:rPr>
        <w:rFonts w:ascii="HelveticaLTStd-Roman" w:eastAsia="Times New Roman" w:hAnsi="HelveticaLTStd-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105F06"/>
    <w:multiLevelType w:val="hybridMultilevel"/>
    <w:tmpl w:val="134EE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A32936"/>
    <w:multiLevelType w:val="hybridMultilevel"/>
    <w:tmpl w:val="1B62BF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9C38C1"/>
    <w:multiLevelType w:val="hybridMultilevel"/>
    <w:tmpl w:val="E0720118"/>
    <w:lvl w:ilvl="0" w:tplc="1BD4F8D0">
      <w:numFmt w:val="bullet"/>
      <w:lvlText w:val="-"/>
      <w:lvlJc w:val="left"/>
      <w:pPr>
        <w:ind w:left="720" w:hanging="360"/>
      </w:pPr>
      <w:rPr>
        <w:rFonts w:ascii="HelveticaLTStd-Roman" w:eastAsia="Times New Roman" w:hAnsi="HelveticaLTStd-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86BD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08A5A39"/>
    <w:multiLevelType w:val="hybridMultilevel"/>
    <w:tmpl w:val="F0720646"/>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E1ECD"/>
    <w:multiLevelType w:val="hybridMultilevel"/>
    <w:tmpl w:val="AC5CB352"/>
    <w:lvl w:ilvl="0" w:tplc="28406694">
      <w:numFmt w:val="bullet"/>
      <w:lvlText w:val="-"/>
      <w:lvlJc w:val="left"/>
      <w:pPr>
        <w:ind w:left="360" w:hanging="360"/>
      </w:pPr>
      <w:rPr>
        <w:rFonts w:ascii="Arial" w:eastAsia="Times New Roman" w:hAnsi="Arial"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5AC516D"/>
    <w:multiLevelType w:val="hybridMultilevel"/>
    <w:tmpl w:val="94062FEC"/>
    <w:lvl w:ilvl="0" w:tplc="080C0001">
      <w:start w:val="2"/>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FF2FDD"/>
    <w:multiLevelType w:val="hybridMultilevel"/>
    <w:tmpl w:val="E3AE43FC"/>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F65F4"/>
    <w:multiLevelType w:val="singleLevel"/>
    <w:tmpl w:val="ACC6BF14"/>
    <w:lvl w:ilvl="0">
      <w:start w:val="1"/>
      <w:numFmt w:val="bullet"/>
      <w:pStyle w:val="HINTitel2"/>
      <w:lvlText w:val=""/>
      <w:lvlJc w:val="left"/>
      <w:pPr>
        <w:tabs>
          <w:tab w:val="num" w:pos="360"/>
        </w:tabs>
        <w:ind w:left="360" w:hanging="360"/>
      </w:pPr>
      <w:rPr>
        <w:rFonts w:ascii="Symbol" w:hAnsi="Symbol" w:hint="default"/>
        <w:sz w:val="28"/>
      </w:rPr>
    </w:lvl>
  </w:abstractNum>
  <w:abstractNum w:abstractNumId="16" w15:restartNumberingAfterBreak="0">
    <w:nsid w:val="42E64040"/>
    <w:multiLevelType w:val="hybridMultilevel"/>
    <w:tmpl w:val="1E3654EC"/>
    <w:lvl w:ilvl="0" w:tplc="AA6A3884">
      <w:start w:val="1"/>
      <w:numFmt w:val="bullet"/>
      <w:lvlText w:val=""/>
      <w:lvlJc w:val="left"/>
      <w:pPr>
        <w:tabs>
          <w:tab w:val="num" w:pos="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A1E9D"/>
    <w:multiLevelType w:val="hybridMultilevel"/>
    <w:tmpl w:val="2BDC13BA"/>
    <w:lvl w:ilvl="0" w:tplc="1BD4F8D0">
      <w:numFmt w:val="bullet"/>
      <w:lvlText w:val="-"/>
      <w:lvlJc w:val="left"/>
      <w:pPr>
        <w:ind w:left="720" w:hanging="360"/>
      </w:pPr>
      <w:rPr>
        <w:rFonts w:ascii="HelveticaLTStd-Roman" w:eastAsia="Times New Roman" w:hAnsi="HelveticaLTStd-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8F2319"/>
    <w:multiLevelType w:val="hybridMultilevel"/>
    <w:tmpl w:val="24EA6A26"/>
    <w:lvl w:ilvl="0" w:tplc="BE821962">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E77604E"/>
    <w:multiLevelType w:val="hybridMultilevel"/>
    <w:tmpl w:val="9788E1C2"/>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EA3517"/>
    <w:multiLevelType w:val="hybridMultilevel"/>
    <w:tmpl w:val="D070F48A"/>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346"/>
        </w:tabs>
        <w:ind w:left="1346" w:hanging="360"/>
      </w:pPr>
      <w:rPr>
        <w:rFonts w:ascii="Courier New" w:hAnsi="Courier New" w:cs="Courier New" w:hint="default"/>
      </w:rPr>
    </w:lvl>
    <w:lvl w:ilvl="2" w:tplc="04130005" w:tentative="1">
      <w:start w:val="1"/>
      <w:numFmt w:val="bullet"/>
      <w:lvlText w:val=""/>
      <w:lvlJc w:val="left"/>
      <w:pPr>
        <w:tabs>
          <w:tab w:val="num" w:pos="2066"/>
        </w:tabs>
        <w:ind w:left="2066" w:hanging="360"/>
      </w:pPr>
      <w:rPr>
        <w:rFonts w:ascii="Wingdings" w:hAnsi="Wingdings" w:hint="default"/>
      </w:rPr>
    </w:lvl>
    <w:lvl w:ilvl="3" w:tplc="04130001" w:tentative="1">
      <w:start w:val="1"/>
      <w:numFmt w:val="bullet"/>
      <w:lvlText w:val=""/>
      <w:lvlJc w:val="left"/>
      <w:pPr>
        <w:tabs>
          <w:tab w:val="num" w:pos="2786"/>
        </w:tabs>
        <w:ind w:left="2786" w:hanging="360"/>
      </w:pPr>
      <w:rPr>
        <w:rFonts w:ascii="Symbol" w:hAnsi="Symbol" w:hint="default"/>
      </w:rPr>
    </w:lvl>
    <w:lvl w:ilvl="4" w:tplc="04130003" w:tentative="1">
      <w:start w:val="1"/>
      <w:numFmt w:val="bullet"/>
      <w:lvlText w:val="o"/>
      <w:lvlJc w:val="left"/>
      <w:pPr>
        <w:tabs>
          <w:tab w:val="num" w:pos="3506"/>
        </w:tabs>
        <w:ind w:left="3506" w:hanging="360"/>
      </w:pPr>
      <w:rPr>
        <w:rFonts w:ascii="Courier New" w:hAnsi="Courier New" w:cs="Courier New" w:hint="default"/>
      </w:rPr>
    </w:lvl>
    <w:lvl w:ilvl="5" w:tplc="04130005" w:tentative="1">
      <w:start w:val="1"/>
      <w:numFmt w:val="bullet"/>
      <w:lvlText w:val=""/>
      <w:lvlJc w:val="left"/>
      <w:pPr>
        <w:tabs>
          <w:tab w:val="num" w:pos="4226"/>
        </w:tabs>
        <w:ind w:left="4226" w:hanging="360"/>
      </w:pPr>
      <w:rPr>
        <w:rFonts w:ascii="Wingdings" w:hAnsi="Wingdings" w:hint="default"/>
      </w:rPr>
    </w:lvl>
    <w:lvl w:ilvl="6" w:tplc="04130001" w:tentative="1">
      <w:start w:val="1"/>
      <w:numFmt w:val="bullet"/>
      <w:lvlText w:val=""/>
      <w:lvlJc w:val="left"/>
      <w:pPr>
        <w:tabs>
          <w:tab w:val="num" w:pos="4946"/>
        </w:tabs>
        <w:ind w:left="4946" w:hanging="360"/>
      </w:pPr>
      <w:rPr>
        <w:rFonts w:ascii="Symbol" w:hAnsi="Symbol" w:hint="default"/>
      </w:rPr>
    </w:lvl>
    <w:lvl w:ilvl="7" w:tplc="04130003" w:tentative="1">
      <w:start w:val="1"/>
      <w:numFmt w:val="bullet"/>
      <w:lvlText w:val="o"/>
      <w:lvlJc w:val="left"/>
      <w:pPr>
        <w:tabs>
          <w:tab w:val="num" w:pos="5666"/>
        </w:tabs>
        <w:ind w:left="5666" w:hanging="360"/>
      </w:pPr>
      <w:rPr>
        <w:rFonts w:ascii="Courier New" w:hAnsi="Courier New" w:cs="Courier New" w:hint="default"/>
      </w:rPr>
    </w:lvl>
    <w:lvl w:ilvl="8" w:tplc="04130005" w:tentative="1">
      <w:start w:val="1"/>
      <w:numFmt w:val="bullet"/>
      <w:lvlText w:val=""/>
      <w:lvlJc w:val="left"/>
      <w:pPr>
        <w:tabs>
          <w:tab w:val="num" w:pos="6386"/>
        </w:tabs>
        <w:ind w:left="6386" w:hanging="360"/>
      </w:pPr>
      <w:rPr>
        <w:rFonts w:ascii="Wingdings" w:hAnsi="Wingdings" w:hint="default"/>
      </w:rPr>
    </w:lvl>
  </w:abstractNum>
  <w:abstractNum w:abstractNumId="21" w15:restartNumberingAfterBreak="0">
    <w:nsid w:val="57243FC4"/>
    <w:multiLevelType w:val="hybridMultilevel"/>
    <w:tmpl w:val="F5660A78"/>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15A4C"/>
    <w:multiLevelType w:val="hybridMultilevel"/>
    <w:tmpl w:val="C826D6BE"/>
    <w:lvl w:ilvl="0" w:tplc="AA6A3884">
      <w:start w:val="1"/>
      <w:numFmt w:val="bullet"/>
      <w:lvlText w:val=""/>
      <w:lvlJc w:val="left"/>
      <w:pPr>
        <w:tabs>
          <w:tab w:val="num" w:pos="-94"/>
        </w:tabs>
        <w:ind w:left="76"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D490F"/>
    <w:multiLevelType w:val="hybridMultilevel"/>
    <w:tmpl w:val="134EE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A942565"/>
    <w:multiLevelType w:val="hybridMultilevel"/>
    <w:tmpl w:val="B2F84AB4"/>
    <w:lvl w:ilvl="0" w:tplc="AA6A3884">
      <w:start w:val="1"/>
      <w:numFmt w:val="bullet"/>
      <w:lvlText w:val=""/>
      <w:lvlJc w:val="left"/>
      <w:pPr>
        <w:tabs>
          <w:tab w:val="num" w:pos="-282"/>
        </w:tabs>
        <w:ind w:left="-112" w:hanging="170"/>
      </w:pPr>
      <w:rPr>
        <w:rFonts w:ascii="Symbol" w:hAnsi="Symbol" w:hint="default"/>
      </w:rPr>
    </w:lvl>
    <w:lvl w:ilvl="1" w:tplc="04130003" w:tentative="1">
      <w:start w:val="1"/>
      <w:numFmt w:val="bullet"/>
      <w:lvlText w:val="o"/>
      <w:lvlJc w:val="left"/>
      <w:pPr>
        <w:tabs>
          <w:tab w:val="num" w:pos="1252"/>
        </w:tabs>
        <w:ind w:left="1252" w:hanging="360"/>
      </w:pPr>
      <w:rPr>
        <w:rFonts w:ascii="Courier New" w:hAnsi="Courier New" w:cs="Courier New" w:hint="default"/>
      </w:rPr>
    </w:lvl>
    <w:lvl w:ilvl="2" w:tplc="04130005" w:tentative="1">
      <w:start w:val="1"/>
      <w:numFmt w:val="bullet"/>
      <w:lvlText w:val=""/>
      <w:lvlJc w:val="left"/>
      <w:pPr>
        <w:tabs>
          <w:tab w:val="num" w:pos="1972"/>
        </w:tabs>
        <w:ind w:left="1972" w:hanging="360"/>
      </w:pPr>
      <w:rPr>
        <w:rFonts w:ascii="Wingdings" w:hAnsi="Wingdings" w:hint="default"/>
      </w:rPr>
    </w:lvl>
    <w:lvl w:ilvl="3" w:tplc="04130001" w:tentative="1">
      <w:start w:val="1"/>
      <w:numFmt w:val="bullet"/>
      <w:lvlText w:val=""/>
      <w:lvlJc w:val="left"/>
      <w:pPr>
        <w:tabs>
          <w:tab w:val="num" w:pos="2692"/>
        </w:tabs>
        <w:ind w:left="2692" w:hanging="360"/>
      </w:pPr>
      <w:rPr>
        <w:rFonts w:ascii="Symbol" w:hAnsi="Symbol" w:hint="default"/>
      </w:rPr>
    </w:lvl>
    <w:lvl w:ilvl="4" w:tplc="04130003" w:tentative="1">
      <w:start w:val="1"/>
      <w:numFmt w:val="bullet"/>
      <w:lvlText w:val="o"/>
      <w:lvlJc w:val="left"/>
      <w:pPr>
        <w:tabs>
          <w:tab w:val="num" w:pos="3412"/>
        </w:tabs>
        <w:ind w:left="3412" w:hanging="360"/>
      </w:pPr>
      <w:rPr>
        <w:rFonts w:ascii="Courier New" w:hAnsi="Courier New" w:cs="Courier New" w:hint="default"/>
      </w:rPr>
    </w:lvl>
    <w:lvl w:ilvl="5" w:tplc="04130005" w:tentative="1">
      <w:start w:val="1"/>
      <w:numFmt w:val="bullet"/>
      <w:lvlText w:val=""/>
      <w:lvlJc w:val="left"/>
      <w:pPr>
        <w:tabs>
          <w:tab w:val="num" w:pos="4132"/>
        </w:tabs>
        <w:ind w:left="4132" w:hanging="360"/>
      </w:pPr>
      <w:rPr>
        <w:rFonts w:ascii="Wingdings" w:hAnsi="Wingdings" w:hint="default"/>
      </w:rPr>
    </w:lvl>
    <w:lvl w:ilvl="6" w:tplc="04130001" w:tentative="1">
      <w:start w:val="1"/>
      <w:numFmt w:val="bullet"/>
      <w:lvlText w:val=""/>
      <w:lvlJc w:val="left"/>
      <w:pPr>
        <w:tabs>
          <w:tab w:val="num" w:pos="4852"/>
        </w:tabs>
        <w:ind w:left="4852" w:hanging="360"/>
      </w:pPr>
      <w:rPr>
        <w:rFonts w:ascii="Symbol" w:hAnsi="Symbol" w:hint="default"/>
      </w:rPr>
    </w:lvl>
    <w:lvl w:ilvl="7" w:tplc="04130003" w:tentative="1">
      <w:start w:val="1"/>
      <w:numFmt w:val="bullet"/>
      <w:lvlText w:val="o"/>
      <w:lvlJc w:val="left"/>
      <w:pPr>
        <w:tabs>
          <w:tab w:val="num" w:pos="5572"/>
        </w:tabs>
        <w:ind w:left="5572" w:hanging="360"/>
      </w:pPr>
      <w:rPr>
        <w:rFonts w:ascii="Courier New" w:hAnsi="Courier New" w:cs="Courier New" w:hint="default"/>
      </w:rPr>
    </w:lvl>
    <w:lvl w:ilvl="8" w:tplc="04130005" w:tentative="1">
      <w:start w:val="1"/>
      <w:numFmt w:val="bullet"/>
      <w:lvlText w:val=""/>
      <w:lvlJc w:val="left"/>
      <w:pPr>
        <w:tabs>
          <w:tab w:val="num" w:pos="6292"/>
        </w:tabs>
        <w:ind w:left="6292" w:hanging="360"/>
      </w:pPr>
      <w:rPr>
        <w:rFonts w:ascii="Wingdings" w:hAnsi="Wingdings" w:hint="default"/>
      </w:rPr>
    </w:lvl>
  </w:abstractNum>
  <w:abstractNum w:abstractNumId="25" w15:restartNumberingAfterBreak="0">
    <w:nsid w:val="5F22558B"/>
    <w:multiLevelType w:val="hybridMultilevel"/>
    <w:tmpl w:val="ECB0C73A"/>
    <w:lvl w:ilvl="0" w:tplc="1BD4F8D0">
      <w:numFmt w:val="bullet"/>
      <w:lvlText w:val="-"/>
      <w:lvlJc w:val="left"/>
      <w:pPr>
        <w:ind w:left="360" w:hanging="360"/>
      </w:pPr>
      <w:rPr>
        <w:rFonts w:ascii="HelveticaLTStd-Roman" w:eastAsia="Times New Roman" w:hAnsi="HelveticaLTStd-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1F11EC0"/>
    <w:multiLevelType w:val="hybridMultilevel"/>
    <w:tmpl w:val="E064E730"/>
    <w:lvl w:ilvl="0" w:tplc="FFFFFFFF">
      <w:start w:val="1"/>
      <w:numFmt w:val="bullet"/>
      <w:lvlText w:val=""/>
      <w:lvlJc w:val="left"/>
      <w:pPr>
        <w:tabs>
          <w:tab w:val="num" w:pos="0"/>
        </w:tabs>
        <w:ind w:left="170" w:hanging="17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532C62"/>
    <w:multiLevelType w:val="hybridMultilevel"/>
    <w:tmpl w:val="CD4C5552"/>
    <w:lvl w:ilvl="0" w:tplc="C8FA96A6">
      <w:numFmt w:val="bullet"/>
      <w:lvlText w:val=""/>
      <w:lvlJc w:val="left"/>
      <w:pPr>
        <w:ind w:left="108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9DB3CBA"/>
    <w:multiLevelType w:val="hybridMultilevel"/>
    <w:tmpl w:val="7142526E"/>
    <w:lvl w:ilvl="0" w:tplc="AA6A3884">
      <w:start w:val="1"/>
      <w:numFmt w:val="bullet"/>
      <w:lvlText w:val=""/>
      <w:lvlJc w:val="left"/>
      <w:pPr>
        <w:tabs>
          <w:tab w:val="num" w:pos="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0737A"/>
    <w:multiLevelType w:val="hybridMultilevel"/>
    <w:tmpl w:val="C54C9E86"/>
    <w:lvl w:ilvl="0" w:tplc="1BD4F8D0">
      <w:numFmt w:val="bullet"/>
      <w:lvlText w:val="-"/>
      <w:lvlJc w:val="left"/>
      <w:pPr>
        <w:ind w:left="720" w:hanging="360"/>
      </w:pPr>
      <w:rPr>
        <w:rFonts w:ascii="HelveticaLTStd-Roman" w:eastAsia="Times New Roman" w:hAnsi="HelveticaLTStd-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2643A0B"/>
    <w:multiLevelType w:val="hybridMultilevel"/>
    <w:tmpl w:val="CA883C2C"/>
    <w:lvl w:ilvl="0" w:tplc="7BFAA08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2F441CC"/>
    <w:multiLevelType w:val="hybridMultilevel"/>
    <w:tmpl w:val="F612992A"/>
    <w:lvl w:ilvl="0" w:tplc="1BD4F8D0">
      <w:numFmt w:val="bullet"/>
      <w:lvlText w:val="-"/>
      <w:lvlJc w:val="left"/>
      <w:pPr>
        <w:ind w:left="720" w:hanging="360"/>
      </w:pPr>
      <w:rPr>
        <w:rFonts w:ascii="HelveticaLTStd-Roman" w:eastAsia="Times New Roman" w:hAnsi="HelveticaLTStd-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9441F"/>
    <w:multiLevelType w:val="hybridMultilevel"/>
    <w:tmpl w:val="33525574"/>
    <w:lvl w:ilvl="0" w:tplc="1BD4F8D0">
      <w:numFmt w:val="bullet"/>
      <w:lvlText w:val="-"/>
      <w:lvlJc w:val="left"/>
      <w:pPr>
        <w:ind w:left="780" w:hanging="360"/>
      </w:pPr>
      <w:rPr>
        <w:rFonts w:ascii="HelveticaLTStd-Roman" w:eastAsia="Times New Roman" w:hAnsi="HelveticaLTStd-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74B5B2C"/>
    <w:multiLevelType w:val="hybridMultilevel"/>
    <w:tmpl w:val="1B62BF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99B0D3C"/>
    <w:multiLevelType w:val="hybridMultilevel"/>
    <w:tmpl w:val="F6781206"/>
    <w:lvl w:ilvl="0" w:tplc="5212D6BE">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C2B3ED2"/>
    <w:multiLevelType w:val="hybridMultilevel"/>
    <w:tmpl w:val="0A1AD376"/>
    <w:lvl w:ilvl="0" w:tplc="080C0001">
      <w:start w:val="2"/>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7EF26EFC"/>
    <w:multiLevelType w:val="hybridMultilevel"/>
    <w:tmpl w:val="F6526D74"/>
    <w:lvl w:ilvl="0" w:tplc="C8FA96A6">
      <w:numFmt w:val="bullet"/>
      <w:lvlText w:val=""/>
      <w:lvlJc w:val="left"/>
      <w:pPr>
        <w:ind w:left="1080" w:hanging="360"/>
      </w:pPr>
      <w:rPr>
        <w:rFonts w:ascii="Symbol" w:eastAsia="Times New Roman" w:hAnsi="Symbol" w:cs="Times New Roman" w:hint="default"/>
      </w:rPr>
    </w:lvl>
    <w:lvl w:ilvl="1" w:tplc="71C030E6">
      <w:start w:val="1"/>
      <w:numFmt w:val="decimal"/>
      <w:lvlText w:val="%2."/>
      <w:lvlJc w:val="left"/>
      <w:pPr>
        <w:ind w:left="1800" w:hanging="360"/>
      </w:pPr>
      <w:rPr>
        <w:rFonts w:hint="default"/>
        <w:b w:val="0"/>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0"/>
  </w:num>
  <w:num w:numId="2">
    <w:abstractNumId w:val="28"/>
  </w:num>
  <w:num w:numId="3">
    <w:abstractNumId w:val="20"/>
  </w:num>
  <w:num w:numId="4">
    <w:abstractNumId w:val="3"/>
  </w:num>
  <w:num w:numId="5">
    <w:abstractNumId w:val="26"/>
  </w:num>
  <w:num w:numId="6">
    <w:abstractNumId w:val="16"/>
  </w:num>
  <w:num w:numId="7">
    <w:abstractNumId w:val="19"/>
  </w:num>
  <w:num w:numId="8">
    <w:abstractNumId w:val="14"/>
  </w:num>
  <w:num w:numId="9">
    <w:abstractNumId w:val="22"/>
  </w:num>
  <w:num w:numId="10">
    <w:abstractNumId w:val="11"/>
  </w:num>
  <w:num w:numId="11">
    <w:abstractNumId w:val="21"/>
  </w:num>
  <w:num w:numId="12">
    <w:abstractNumId w:val="1"/>
  </w:num>
  <w:num w:numId="13">
    <w:abstractNumId w:val="4"/>
  </w:num>
  <w:num w:numId="14">
    <w:abstractNumId w:val="24"/>
  </w:num>
  <w:num w:numId="15">
    <w:abstractNumId w:val="10"/>
  </w:num>
  <w:num w:numId="16">
    <w:abstractNumId w:val="23"/>
  </w:num>
  <w:num w:numId="17">
    <w:abstractNumId w:val="15"/>
  </w:num>
  <w:num w:numId="18">
    <w:abstractNumId w:val="5"/>
  </w:num>
  <w:num w:numId="19">
    <w:abstractNumId w:val="30"/>
  </w:num>
  <w:num w:numId="20">
    <w:abstractNumId w:val="13"/>
  </w:num>
  <w:num w:numId="21">
    <w:abstractNumId w:val="35"/>
  </w:num>
  <w:num w:numId="22">
    <w:abstractNumId w:val="12"/>
  </w:num>
  <w:num w:numId="23">
    <w:abstractNumId w:val="34"/>
  </w:num>
  <w:num w:numId="24">
    <w:abstractNumId w:val="8"/>
  </w:num>
  <w:num w:numId="25">
    <w:abstractNumId w:val="33"/>
  </w:num>
  <w:num w:numId="26">
    <w:abstractNumId w:val="29"/>
  </w:num>
  <w:num w:numId="27">
    <w:abstractNumId w:val="2"/>
  </w:num>
  <w:num w:numId="28">
    <w:abstractNumId w:val="18"/>
  </w:num>
  <w:num w:numId="29">
    <w:abstractNumId w:val="36"/>
  </w:num>
  <w:num w:numId="30">
    <w:abstractNumId w:val="7"/>
  </w:num>
  <w:num w:numId="31">
    <w:abstractNumId w:val="27"/>
  </w:num>
  <w:num w:numId="32">
    <w:abstractNumId w:val="25"/>
  </w:num>
  <w:num w:numId="33">
    <w:abstractNumId w:val="17"/>
  </w:num>
  <w:num w:numId="34">
    <w:abstractNumId w:val="9"/>
  </w:num>
  <w:num w:numId="35">
    <w:abstractNumId w:val="32"/>
  </w:num>
  <w:num w:numId="36">
    <w:abstractNumId w:val="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C2"/>
    <w:rsid w:val="00027B41"/>
    <w:rsid w:val="00053D16"/>
    <w:rsid w:val="000A02DE"/>
    <w:rsid w:val="000B1EB3"/>
    <w:rsid w:val="000B6B00"/>
    <w:rsid w:val="000C4FD2"/>
    <w:rsid w:val="000D038B"/>
    <w:rsid w:val="000E7DED"/>
    <w:rsid w:val="000F08C0"/>
    <w:rsid w:val="00127307"/>
    <w:rsid w:val="0012730A"/>
    <w:rsid w:val="001308C2"/>
    <w:rsid w:val="0013462B"/>
    <w:rsid w:val="001377D3"/>
    <w:rsid w:val="0014560C"/>
    <w:rsid w:val="0015453A"/>
    <w:rsid w:val="0017278E"/>
    <w:rsid w:val="001877E6"/>
    <w:rsid w:val="0019241C"/>
    <w:rsid w:val="001D5EA5"/>
    <w:rsid w:val="001E24F6"/>
    <w:rsid w:val="001E34B5"/>
    <w:rsid w:val="001E3A79"/>
    <w:rsid w:val="001F2770"/>
    <w:rsid w:val="002047C7"/>
    <w:rsid w:val="00206E50"/>
    <w:rsid w:val="0021017B"/>
    <w:rsid w:val="00212C34"/>
    <w:rsid w:val="00215F0F"/>
    <w:rsid w:val="00222827"/>
    <w:rsid w:val="00233594"/>
    <w:rsid w:val="002355EF"/>
    <w:rsid w:val="00245077"/>
    <w:rsid w:val="002515F4"/>
    <w:rsid w:val="002564E2"/>
    <w:rsid w:val="00260E12"/>
    <w:rsid w:val="00271B9F"/>
    <w:rsid w:val="002818E0"/>
    <w:rsid w:val="00294850"/>
    <w:rsid w:val="0029596A"/>
    <w:rsid w:val="00296092"/>
    <w:rsid w:val="002A1130"/>
    <w:rsid w:val="002A438B"/>
    <w:rsid w:val="002C50F5"/>
    <w:rsid w:val="002F0373"/>
    <w:rsid w:val="002F389F"/>
    <w:rsid w:val="00310D84"/>
    <w:rsid w:val="00320170"/>
    <w:rsid w:val="0033507F"/>
    <w:rsid w:val="00340F63"/>
    <w:rsid w:val="0035277D"/>
    <w:rsid w:val="0035300B"/>
    <w:rsid w:val="00355888"/>
    <w:rsid w:val="00355BD8"/>
    <w:rsid w:val="00362201"/>
    <w:rsid w:val="003627ED"/>
    <w:rsid w:val="00370459"/>
    <w:rsid w:val="00370929"/>
    <w:rsid w:val="00392C34"/>
    <w:rsid w:val="003A2D94"/>
    <w:rsid w:val="003A33FE"/>
    <w:rsid w:val="003B20CD"/>
    <w:rsid w:val="003B52ED"/>
    <w:rsid w:val="003B6D23"/>
    <w:rsid w:val="003C0526"/>
    <w:rsid w:val="003C2E5B"/>
    <w:rsid w:val="003E1345"/>
    <w:rsid w:val="003E2007"/>
    <w:rsid w:val="003E52E6"/>
    <w:rsid w:val="003F1012"/>
    <w:rsid w:val="003F10CB"/>
    <w:rsid w:val="00411568"/>
    <w:rsid w:val="00436511"/>
    <w:rsid w:val="00437539"/>
    <w:rsid w:val="0046509B"/>
    <w:rsid w:val="00470A3E"/>
    <w:rsid w:val="00474DE5"/>
    <w:rsid w:val="00482CC3"/>
    <w:rsid w:val="00483E79"/>
    <w:rsid w:val="004A115A"/>
    <w:rsid w:val="004A662C"/>
    <w:rsid w:val="004B4B48"/>
    <w:rsid w:val="004C0837"/>
    <w:rsid w:val="004C398E"/>
    <w:rsid w:val="004D32D2"/>
    <w:rsid w:val="004D6588"/>
    <w:rsid w:val="004F2312"/>
    <w:rsid w:val="004F2680"/>
    <w:rsid w:val="004F7DFC"/>
    <w:rsid w:val="00505333"/>
    <w:rsid w:val="005179AD"/>
    <w:rsid w:val="00526EEB"/>
    <w:rsid w:val="00527108"/>
    <w:rsid w:val="0054544F"/>
    <w:rsid w:val="00553EFA"/>
    <w:rsid w:val="005545D0"/>
    <w:rsid w:val="005552A1"/>
    <w:rsid w:val="005554DC"/>
    <w:rsid w:val="00556E52"/>
    <w:rsid w:val="00560246"/>
    <w:rsid w:val="00570D29"/>
    <w:rsid w:val="005821A1"/>
    <w:rsid w:val="00583ECC"/>
    <w:rsid w:val="00586BC2"/>
    <w:rsid w:val="005A7F21"/>
    <w:rsid w:val="005C57EC"/>
    <w:rsid w:val="005D209B"/>
    <w:rsid w:val="00607D6A"/>
    <w:rsid w:val="00632E67"/>
    <w:rsid w:val="00634522"/>
    <w:rsid w:val="006400F6"/>
    <w:rsid w:val="006447C6"/>
    <w:rsid w:val="00672D83"/>
    <w:rsid w:val="00681631"/>
    <w:rsid w:val="00682A11"/>
    <w:rsid w:val="0068336C"/>
    <w:rsid w:val="00690DB9"/>
    <w:rsid w:val="006A4312"/>
    <w:rsid w:val="006A690F"/>
    <w:rsid w:val="006B2303"/>
    <w:rsid w:val="006C49FB"/>
    <w:rsid w:val="006C5055"/>
    <w:rsid w:val="006E1646"/>
    <w:rsid w:val="006E2F46"/>
    <w:rsid w:val="006E735F"/>
    <w:rsid w:val="006F42C6"/>
    <w:rsid w:val="00710D5B"/>
    <w:rsid w:val="007124CD"/>
    <w:rsid w:val="00752967"/>
    <w:rsid w:val="0075449B"/>
    <w:rsid w:val="00763533"/>
    <w:rsid w:val="00764C8C"/>
    <w:rsid w:val="00766EAF"/>
    <w:rsid w:val="00774F96"/>
    <w:rsid w:val="0077505D"/>
    <w:rsid w:val="0077767E"/>
    <w:rsid w:val="007A1300"/>
    <w:rsid w:val="007B26F9"/>
    <w:rsid w:val="007B3ACB"/>
    <w:rsid w:val="007C28C3"/>
    <w:rsid w:val="007E0530"/>
    <w:rsid w:val="007F3625"/>
    <w:rsid w:val="007F68AB"/>
    <w:rsid w:val="00814BE5"/>
    <w:rsid w:val="00815096"/>
    <w:rsid w:val="008312DE"/>
    <w:rsid w:val="00835625"/>
    <w:rsid w:val="00835861"/>
    <w:rsid w:val="0085702D"/>
    <w:rsid w:val="008614C0"/>
    <w:rsid w:val="00862807"/>
    <w:rsid w:val="008748AC"/>
    <w:rsid w:val="008749F7"/>
    <w:rsid w:val="00885168"/>
    <w:rsid w:val="00885C5F"/>
    <w:rsid w:val="0088728B"/>
    <w:rsid w:val="008906DB"/>
    <w:rsid w:val="008A0469"/>
    <w:rsid w:val="008A35AB"/>
    <w:rsid w:val="008B3BC4"/>
    <w:rsid w:val="0090451A"/>
    <w:rsid w:val="009156A7"/>
    <w:rsid w:val="00920282"/>
    <w:rsid w:val="009203B5"/>
    <w:rsid w:val="009231BA"/>
    <w:rsid w:val="00925BBA"/>
    <w:rsid w:val="009272FE"/>
    <w:rsid w:val="009325DA"/>
    <w:rsid w:val="009441BC"/>
    <w:rsid w:val="0094531C"/>
    <w:rsid w:val="009518F8"/>
    <w:rsid w:val="009643E2"/>
    <w:rsid w:val="009702AD"/>
    <w:rsid w:val="00972E37"/>
    <w:rsid w:val="009A1479"/>
    <w:rsid w:val="009A3E77"/>
    <w:rsid w:val="009B00AD"/>
    <w:rsid w:val="009C348A"/>
    <w:rsid w:val="009D0F81"/>
    <w:rsid w:val="009E0FD9"/>
    <w:rsid w:val="009F3C7E"/>
    <w:rsid w:val="00A0216D"/>
    <w:rsid w:val="00A06FA1"/>
    <w:rsid w:val="00A1497B"/>
    <w:rsid w:val="00A17CFA"/>
    <w:rsid w:val="00A526CF"/>
    <w:rsid w:val="00A61DB6"/>
    <w:rsid w:val="00AA2B53"/>
    <w:rsid w:val="00AB7573"/>
    <w:rsid w:val="00AC35D8"/>
    <w:rsid w:val="00AC3CF6"/>
    <w:rsid w:val="00AC5DD8"/>
    <w:rsid w:val="00AD7F6A"/>
    <w:rsid w:val="00AE01E2"/>
    <w:rsid w:val="00B00F3A"/>
    <w:rsid w:val="00B042EF"/>
    <w:rsid w:val="00B11567"/>
    <w:rsid w:val="00B238C8"/>
    <w:rsid w:val="00B32841"/>
    <w:rsid w:val="00B36302"/>
    <w:rsid w:val="00B56B4D"/>
    <w:rsid w:val="00B672AB"/>
    <w:rsid w:val="00B70145"/>
    <w:rsid w:val="00B70CB9"/>
    <w:rsid w:val="00B72963"/>
    <w:rsid w:val="00B7314F"/>
    <w:rsid w:val="00B74C81"/>
    <w:rsid w:val="00B77358"/>
    <w:rsid w:val="00B80A41"/>
    <w:rsid w:val="00B82421"/>
    <w:rsid w:val="00B8484A"/>
    <w:rsid w:val="00B92D94"/>
    <w:rsid w:val="00B976BF"/>
    <w:rsid w:val="00BA00A4"/>
    <w:rsid w:val="00BB0DE7"/>
    <w:rsid w:val="00BB7DD5"/>
    <w:rsid w:val="00BC62DE"/>
    <w:rsid w:val="00BD5991"/>
    <w:rsid w:val="00BD5E7F"/>
    <w:rsid w:val="00BD7BD1"/>
    <w:rsid w:val="00BE4AC4"/>
    <w:rsid w:val="00BE4BC9"/>
    <w:rsid w:val="00C00BBD"/>
    <w:rsid w:val="00C05E3F"/>
    <w:rsid w:val="00C06616"/>
    <w:rsid w:val="00C1040D"/>
    <w:rsid w:val="00C111DA"/>
    <w:rsid w:val="00C14AE4"/>
    <w:rsid w:val="00C17212"/>
    <w:rsid w:val="00C31353"/>
    <w:rsid w:val="00C3265F"/>
    <w:rsid w:val="00C564F6"/>
    <w:rsid w:val="00C5661C"/>
    <w:rsid w:val="00C815E9"/>
    <w:rsid w:val="00C9609A"/>
    <w:rsid w:val="00CA074C"/>
    <w:rsid w:val="00CD279B"/>
    <w:rsid w:val="00CD5528"/>
    <w:rsid w:val="00CF0020"/>
    <w:rsid w:val="00CF2824"/>
    <w:rsid w:val="00D029E9"/>
    <w:rsid w:val="00D108A5"/>
    <w:rsid w:val="00D123E1"/>
    <w:rsid w:val="00D23244"/>
    <w:rsid w:val="00D56BCA"/>
    <w:rsid w:val="00D56CC6"/>
    <w:rsid w:val="00D84758"/>
    <w:rsid w:val="00D873C9"/>
    <w:rsid w:val="00D92853"/>
    <w:rsid w:val="00DB379B"/>
    <w:rsid w:val="00DB4D0C"/>
    <w:rsid w:val="00DB76D9"/>
    <w:rsid w:val="00DB7A03"/>
    <w:rsid w:val="00DC6EAB"/>
    <w:rsid w:val="00DD249E"/>
    <w:rsid w:val="00DD2CE8"/>
    <w:rsid w:val="00DD639D"/>
    <w:rsid w:val="00E001BE"/>
    <w:rsid w:val="00E00448"/>
    <w:rsid w:val="00E03520"/>
    <w:rsid w:val="00E06166"/>
    <w:rsid w:val="00E1117C"/>
    <w:rsid w:val="00E12A5C"/>
    <w:rsid w:val="00E30D1D"/>
    <w:rsid w:val="00E3611E"/>
    <w:rsid w:val="00E4267C"/>
    <w:rsid w:val="00E426D8"/>
    <w:rsid w:val="00E45EC8"/>
    <w:rsid w:val="00E71077"/>
    <w:rsid w:val="00E73DD6"/>
    <w:rsid w:val="00E84CA1"/>
    <w:rsid w:val="00E931B9"/>
    <w:rsid w:val="00EB3912"/>
    <w:rsid w:val="00EB6C38"/>
    <w:rsid w:val="00EC3ADF"/>
    <w:rsid w:val="00ED0C77"/>
    <w:rsid w:val="00ED1C73"/>
    <w:rsid w:val="00ED7B56"/>
    <w:rsid w:val="00EE77AD"/>
    <w:rsid w:val="00EF1A10"/>
    <w:rsid w:val="00EF29F7"/>
    <w:rsid w:val="00F05A49"/>
    <w:rsid w:val="00F06503"/>
    <w:rsid w:val="00F112D0"/>
    <w:rsid w:val="00F27E93"/>
    <w:rsid w:val="00F30182"/>
    <w:rsid w:val="00F353E6"/>
    <w:rsid w:val="00F406B1"/>
    <w:rsid w:val="00F44A1D"/>
    <w:rsid w:val="00F635EF"/>
    <w:rsid w:val="00F73700"/>
    <w:rsid w:val="00F76F24"/>
    <w:rsid w:val="00F80E82"/>
    <w:rsid w:val="00FB62CB"/>
    <w:rsid w:val="00FD1416"/>
    <w:rsid w:val="00FD3B56"/>
    <w:rsid w:val="00FE1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3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F8"/>
    <w:pPr>
      <w:spacing w:after="24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59"/>
    <w:pPr>
      <w:tabs>
        <w:tab w:val="center" w:pos="4536"/>
        <w:tab w:val="right" w:pos="9072"/>
      </w:tabs>
      <w:spacing w:after="0"/>
    </w:pPr>
  </w:style>
  <w:style w:type="character" w:customStyle="1" w:styleId="HeaderChar">
    <w:name w:val="Header Char"/>
    <w:basedOn w:val="DefaultParagraphFont"/>
    <w:link w:val="Header"/>
    <w:uiPriority w:val="99"/>
    <w:rsid w:val="00370459"/>
  </w:style>
  <w:style w:type="paragraph" w:styleId="Footer">
    <w:name w:val="footer"/>
    <w:basedOn w:val="Normal"/>
    <w:link w:val="FooterChar"/>
    <w:uiPriority w:val="99"/>
    <w:unhideWhenUsed/>
    <w:rsid w:val="00370459"/>
    <w:pPr>
      <w:tabs>
        <w:tab w:val="center" w:pos="4536"/>
        <w:tab w:val="right" w:pos="9072"/>
      </w:tabs>
      <w:spacing w:after="0"/>
    </w:pPr>
  </w:style>
  <w:style w:type="character" w:customStyle="1" w:styleId="FooterChar">
    <w:name w:val="Footer Char"/>
    <w:basedOn w:val="DefaultParagraphFont"/>
    <w:link w:val="Footer"/>
    <w:uiPriority w:val="99"/>
    <w:rsid w:val="00370459"/>
  </w:style>
  <w:style w:type="paragraph" w:styleId="FootnoteText">
    <w:name w:val="footnote text"/>
    <w:basedOn w:val="Normal"/>
    <w:link w:val="FootnoteTextChar"/>
    <w:rsid w:val="009518F8"/>
    <w:pPr>
      <w:spacing w:after="0"/>
    </w:pPr>
    <w:rPr>
      <w:i/>
      <w:sz w:val="16"/>
    </w:rPr>
  </w:style>
  <w:style w:type="character" w:customStyle="1" w:styleId="FootnoteTextChar">
    <w:name w:val="Footnote Text Char"/>
    <w:basedOn w:val="DefaultParagraphFont"/>
    <w:link w:val="FootnoteText"/>
    <w:rsid w:val="009518F8"/>
    <w:rPr>
      <w:rFonts w:ascii="Arial" w:eastAsia="Times New Roman" w:hAnsi="Arial" w:cs="Times New Roman"/>
      <w:i/>
      <w:sz w:val="16"/>
      <w:szCs w:val="20"/>
      <w:lang w:val="fr-BE"/>
    </w:rPr>
  </w:style>
  <w:style w:type="paragraph" w:customStyle="1" w:styleId="HINTitel1">
    <w:name w:val="HI_N_Titel1"/>
    <w:rsid w:val="009518F8"/>
    <w:pPr>
      <w:keepNext/>
      <w:keepLines/>
      <w:pBdr>
        <w:top w:val="single" w:sz="8" w:space="1" w:color="auto"/>
        <w:bottom w:val="single" w:sz="8" w:space="1" w:color="auto"/>
      </w:pBdr>
      <w:tabs>
        <w:tab w:val="right" w:pos="9072"/>
      </w:tabs>
      <w:spacing w:before="360" w:after="240" w:line="240" w:lineRule="exact"/>
      <w:jc w:val="both"/>
    </w:pPr>
    <w:rPr>
      <w:rFonts w:ascii="Arial" w:eastAsia="Times New Roman" w:hAnsi="Arial" w:cs="Times New Roman"/>
      <w:b/>
      <w:sz w:val="24"/>
      <w:szCs w:val="20"/>
    </w:rPr>
  </w:style>
  <w:style w:type="paragraph" w:customStyle="1" w:styleId="HINTOC">
    <w:name w:val="HI_N_TOC"/>
    <w:rsid w:val="009518F8"/>
    <w:pPr>
      <w:numPr>
        <w:numId w:val="1"/>
      </w:numPr>
      <w:tabs>
        <w:tab w:val="clear" w:pos="360"/>
        <w:tab w:val="right" w:leader="dot" w:pos="9072"/>
      </w:tabs>
      <w:spacing w:after="0" w:line="240" w:lineRule="auto"/>
      <w:ind w:left="0" w:firstLine="0"/>
    </w:pPr>
    <w:rPr>
      <w:rFonts w:ascii="Arial" w:eastAsia="Times New Roman" w:hAnsi="Arial" w:cs="Times New Roman"/>
      <w:sz w:val="20"/>
      <w:szCs w:val="20"/>
    </w:rPr>
  </w:style>
  <w:style w:type="paragraph" w:customStyle="1" w:styleId="HIFTitre1">
    <w:name w:val="HI_F_Titre1"/>
    <w:rsid w:val="009518F8"/>
    <w:pPr>
      <w:keepNext/>
      <w:keepLines/>
      <w:pBdr>
        <w:top w:val="single" w:sz="8" w:space="1" w:color="auto"/>
        <w:bottom w:val="single" w:sz="8" w:space="1" w:color="auto"/>
      </w:pBdr>
      <w:tabs>
        <w:tab w:val="right" w:pos="9072"/>
      </w:tabs>
      <w:spacing w:before="360" w:after="240" w:line="240" w:lineRule="exact"/>
    </w:pPr>
    <w:rPr>
      <w:rFonts w:ascii="Arial" w:eastAsia="Times New Roman" w:hAnsi="Arial" w:cs="Times New Roman"/>
      <w:b/>
      <w:sz w:val="24"/>
      <w:szCs w:val="20"/>
    </w:rPr>
  </w:style>
  <w:style w:type="paragraph" w:customStyle="1" w:styleId="Streep">
    <w:name w:val="Streep"/>
    <w:link w:val="StreepChar"/>
    <w:rsid w:val="009518F8"/>
    <w:pPr>
      <w:tabs>
        <w:tab w:val="num" w:pos="360"/>
      </w:tabs>
      <w:spacing w:after="0" w:line="240" w:lineRule="auto"/>
      <w:ind w:left="340" w:hanging="340"/>
      <w:jc w:val="both"/>
    </w:pPr>
    <w:rPr>
      <w:rFonts w:ascii="Arial" w:eastAsia="Times New Roman" w:hAnsi="Arial" w:cs="Times New Roman"/>
      <w:sz w:val="20"/>
      <w:szCs w:val="20"/>
    </w:rPr>
  </w:style>
  <w:style w:type="character" w:customStyle="1" w:styleId="StreepChar">
    <w:name w:val="Streep Char"/>
    <w:link w:val="Streep"/>
    <w:rsid w:val="009518F8"/>
    <w:rPr>
      <w:rFonts w:ascii="Arial" w:eastAsia="Times New Roman" w:hAnsi="Arial" w:cs="Times New Roman"/>
      <w:sz w:val="20"/>
      <w:szCs w:val="20"/>
      <w:lang w:val="fr-BE"/>
    </w:rPr>
  </w:style>
  <w:style w:type="character" w:styleId="FootnoteReference">
    <w:name w:val="footnote reference"/>
    <w:semiHidden/>
    <w:rsid w:val="009518F8"/>
    <w:rPr>
      <w:vertAlign w:val="superscript"/>
    </w:rPr>
  </w:style>
  <w:style w:type="paragraph" w:styleId="NormalWeb">
    <w:name w:val="Normal (Web)"/>
    <w:basedOn w:val="Normal"/>
    <w:rsid w:val="009518F8"/>
    <w:pPr>
      <w:spacing w:before="100" w:beforeAutospacing="1" w:after="100" w:afterAutospacing="1"/>
      <w:jc w:val="left"/>
    </w:pPr>
    <w:rPr>
      <w:rFonts w:ascii="Times New Roman" w:hAnsi="Times New Roman"/>
      <w:color w:val="333333"/>
      <w:sz w:val="24"/>
      <w:szCs w:val="24"/>
    </w:rPr>
  </w:style>
  <w:style w:type="character" w:styleId="CommentReference">
    <w:name w:val="annotation reference"/>
    <w:rsid w:val="009518F8"/>
    <w:rPr>
      <w:sz w:val="16"/>
      <w:szCs w:val="16"/>
    </w:rPr>
  </w:style>
  <w:style w:type="paragraph" w:styleId="CommentText">
    <w:name w:val="annotation text"/>
    <w:basedOn w:val="Normal"/>
    <w:link w:val="CommentTextChar"/>
    <w:rsid w:val="009518F8"/>
  </w:style>
  <w:style w:type="character" w:customStyle="1" w:styleId="CommentTextChar">
    <w:name w:val="Comment Text Char"/>
    <w:basedOn w:val="DefaultParagraphFont"/>
    <w:link w:val="CommentText"/>
    <w:rsid w:val="009518F8"/>
    <w:rPr>
      <w:rFonts w:ascii="Arial" w:eastAsia="Times New Roman" w:hAnsi="Arial" w:cs="Times New Roman"/>
      <w:sz w:val="20"/>
      <w:szCs w:val="20"/>
      <w:lang w:val="fr-BE"/>
    </w:rPr>
  </w:style>
  <w:style w:type="paragraph" w:styleId="BalloonText">
    <w:name w:val="Balloon Text"/>
    <w:basedOn w:val="Normal"/>
    <w:link w:val="BalloonTextChar"/>
    <w:uiPriority w:val="99"/>
    <w:semiHidden/>
    <w:unhideWhenUsed/>
    <w:rsid w:val="009518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8F8"/>
    <w:rPr>
      <w:rFonts w:ascii="Segoe UI" w:eastAsia="Times New Roman" w:hAnsi="Segoe UI" w:cs="Segoe UI"/>
      <w:sz w:val="18"/>
      <w:szCs w:val="18"/>
      <w:lang w:val="fr-BE"/>
    </w:rPr>
  </w:style>
  <w:style w:type="paragraph" w:customStyle="1" w:styleId="HIFDate">
    <w:name w:val="HI_F_Date"/>
    <w:rsid w:val="005552A1"/>
    <w:pPr>
      <w:spacing w:before="240" w:after="480" w:line="240" w:lineRule="auto"/>
      <w:jc w:val="center"/>
    </w:pPr>
    <w:rPr>
      <w:rFonts w:ascii="Arial" w:eastAsia="Times New Roman" w:hAnsi="Arial" w:cs="Times New Roman"/>
      <w:b/>
      <w:sz w:val="28"/>
      <w:szCs w:val="20"/>
    </w:rPr>
  </w:style>
  <w:style w:type="table" w:styleId="TableGrid">
    <w:name w:val="Table Grid"/>
    <w:basedOn w:val="TableNormal"/>
    <w:uiPriority w:val="39"/>
    <w:rsid w:val="00B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17B"/>
    <w:pPr>
      <w:ind w:left="720"/>
      <w:contextualSpacing/>
    </w:pPr>
  </w:style>
  <w:style w:type="paragraph" w:customStyle="1" w:styleId="HINTitel2">
    <w:name w:val="HI_N_Titel2"/>
    <w:link w:val="HINTitel2Char"/>
    <w:rsid w:val="0054544F"/>
    <w:pPr>
      <w:keepNext/>
      <w:keepLines/>
      <w:numPr>
        <w:numId w:val="17"/>
      </w:numPr>
      <w:spacing w:before="240" w:after="240" w:line="240" w:lineRule="exact"/>
      <w:jc w:val="both"/>
    </w:pPr>
    <w:rPr>
      <w:rFonts w:ascii="Arial" w:eastAsia="Times New Roman" w:hAnsi="Arial" w:cs="Times New Roman"/>
      <w:b/>
      <w:szCs w:val="20"/>
    </w:rPr>
  </w:style>
  <w:style w:type="character" w:customStyle="1" w:styleId="HINTitel2Char">
    <w:name w:val="HI_N_Titel2 Char"/>
    <w:basedOn w:val="DefaultParagraphFont"/>
    <w:link w:val="HINTitel2"/>
    <w:rsid w:val="0054544F"/>
    <w:rPr>
      <w:rFonts w:ascii="Arial" w:eastAsia="Times New Roman" w:hAnsi="Arial" w:cs="Times New Roman"/>
      <w:b/>
      <w:szCs w:val="20"/>
      <w:lang w:val="fr-BE"/>
    </w:rPr>
  </w:style>
  <w:style w:type="paragraph" w:styleId="CommentSubject">
    <w:name w:val="annotation subject"/>
    <w:basedOn w:val="CommentText"/>
    <w:next w:val="CommentText"/>
    <w:link w:val="CommentSubjectChar"/>
    <w:uiPriority w:val="99"/>
    <w:semiHidden/>
    <w:unhideWhenUsed/>
    <w:rsid w:val="00D123E1"/>
    <w:rPr>
      <w:b/>
      <w:bCs/>
    </w:rPr>
  </w:style>
  <w:style w:type="character" w:customStyle="1" w:styleId="CommentSubjectChar">
    <w:name w:val="Comment Subject Char"/>
    <w:basedOn w:val="CommentTextChar"/>
    <w:link w:val="CommentSubject"/>
    <w:uiPriority w:val="99"/>
    <w:semiHidden/>
    <w:rsid w:val="00D123E1"/>
    <w:rPr>
      <w:rFonts w:ascii="Arial" w:eastAsia="Times New Roman" w:hAnsi="Arial" w:cs="Times New Roman"/>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f4e143-db60-4d28-8197-511be4da30e5" xsi:nil="true"/>
    <Opgesteld_x0020_door xmlns="2ef4e143-db60-4d28-8197-511be4da30e5">
      <UserInfo>
        <DisplayName/>
        <AccountId xsi:nil="true"/>
        <AccountType/>
      </UserInfo>
    </Opgesteld_x0020_door>
    <segment xmlns="2ef4e143-db60-4d28-8197-511be4da30e5" xsi:nil="true"/>
    <Envoy_x00e9_ xmlns="2ef4e143-db60-4d28-8197-511be4da30e5">Non</Envoy_x00e9_>
    <els xmlns="2ef4e143-db60-4d28-8197-511be4da30e5">true</els>
    <beheer xmlns="2ef4e143-db60-4d28-8197-511be4da30e5">
      <UserInfo>
        <DisplayName/>
        <AccountId xsi:nil="true"/>
        <AccountType/>
      </UserInfo>
    </beheer>
    <jaartal xmlns="2ef4e143-db60-4d28-8197-511be4da30e5" xsi:nil="true"/>
    <Team xmlns="2ef4e143-db60-4d28-8197-511be4da30e5" xsi:nil="true"/>
    <Language xmlns="2ef4e143-db60-4d28-8197-511be4da30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2" ma:contentTypeDescription="Crée un document." ma:contentTypeScope="" ma:versionID="ef09cb68040a42c170f285f17b9db692">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a80596a377ed8dd78c6ac71289a0d905"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État de validation"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E19CC-0D5C-47B8-8AC9-426E2957F214}">
  <ds:schemaRefs>
    <ds:schemaRef ds:uri="http://schemas.openxmlformats.org/officeDocument/2006/bibliography"/>
  </ds:schemaRefs>
</ds:datastoreItem>
</file>

<file path=customXml/itemProps2.xml><?xml version="1.0" encoding="utf-8"?>
<ds:datastoreItem xmlns:ds="http://schemas.openxmlformats.org/officeDocument/2006/customXml" ds:itemID="{A418DE2E-74E7-447A-98FD-357104439235}">
  <ds:schemaRefs>
    <ds:schemaRef ds:uri="http://schemas.microsoft.com/office/2006/metadata/properties"/>
    <ds:schemaRef ds:uri="http://schemas.microsoft.com/office/infopath/2007/PartnerControls"/>
    <ds:schemaRef ds:uri="2ef4e143-db60-4d28-8197-511be4da30e5"/>
  </ds:schemaRefs>
</ds:datastoreItem>
</file>

<file path=customXml/itemProps3.xml><?xml version="1.0" encoding="utf-8"?>
<ds:datastoreItem xmlns:ds="http://schemas.openxmlformats.org/officeDocument/2006/customXml" ds:itemID="{79EC4576-A348-4AB6-A539-9A66B617F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B7D6B1-507F-497D-B54D-604F46817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1733</Words>
  <Characters>9884</Characters>
  <Application>Microsoft Office Word</Application>
  <DocSecurity>0</DocSecurity>
  <Lines>82</Lines>
  <Paragraphs>23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2023-02-06T11:10:00Z</dcterms:created>
  <dcterms:modified xsi:type="dcterms:W3CDTF">2023-02-06T11:10:00Z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AuthorIds_UIVersion_5120">
    <vt:lpwstr>6648</vt:lpwstr>
  </property>
</Properties>
</file>