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75219" w14:textId="77777777" w:rsidR="00370459" w:rsidRPr="004D008A" w:rsidRDefault="00EB3D61">
      <w:pPr>
        <w:rPr>
          <w:b/>
          <w:sz w:val="32"/>
          <w:szCs w:val="32"/>
          <w:u w:val="single"/>
          <w:lang w:val="fr-FR"/>
        </w:rPr>
      </w:pPr>
      <w:bookmarkStart w:id="0" w:name="_GoBack"/>
      <w:bookmarkEnd w:id="0"/>
      <w:r>
        <w:rPr>
          <w:b/>
          <w:sz w:val="32"/>
          <w:szCs w:val="32"/>
          <w:u w:val="single"/>
          <w:lang w:val="fr-FR"/>
        </w:rPr>
        <w:t xml:space="preserve">Dirigeants d’entreprise </w:t>
      </w:r>
      <w:r w:rsidR="002B1478">
        <w:rPr>
          <w:b/>
          <w:sz w:val="32"/>
          <w:szCs w:val="32"/>
          <w:u w:val="single"/>
          <w:lang w:val="fr-FR"/>
        </w:rPr>
        <w:t xml:space="preserve">- </w:t>
      </w:r>
      <w:r>
        <w:rPr>
          <w:b/>
          <w:sz w:val="32"/>
          <w:szCs w:val="32"/>
          <w:u w:val="single"/>
          <w:lang w:val="fr-FR"/>
        </w:rPr>
        <w:t>Aspects sociaux et fiscaux</w:t>
      </w:r>
    </w:p>
    <w:p w14:paraId="2E257114" w14:textId="77777777" w:rsidR="00370459" w:rsidRPr="004D008A" w:rsidRDefault="005055C8">
      <w:pPr>
        <w:rPr>
          <w:b/>
          <w:sz w:val="28"/>
          <w:szCs w:val="28"/>
          <w:lang w:val="fr-BE"/>
        </w:rPr>
      </w:pPr>
      <w:r w:rsidRPr="004D008A">
        <w:rPr>
          <w:b/>
          <w:sz w:val="28"/>
          <w:szCs w:val="28"/>
          <w:lang w:val="fr-BE"/>
        </w:rPr>
        <w:t>Annexe</w:t>
      </w:r>
      <w:r w:rsidR="003C7B47" w:rsidRPr="004D008A">
        <w:rPr>
          <w:b/>
          <w:sz w:val="28"/>
          <w:szCs w:val="28"/>
          <w:lang w:val="fr-BE"/>
        </w:rPr>
        <w:t xml:space="preserve"> 1</w:t>
      </w:r>
    </w:p>
    <w:p w14:paraId="6D6FD77E" w14:textId="77777777" w:rsidR="003C7B47" w:rsidRDefault="005607BA" w:rsidP="002421E2">
      <w:pPr>
        <w:pStyle w:val="HIFTitre3"/>
      </w:pPr>
      <w:r w:rsidRPr="002421E2">
        <w:rPr>
          <w:rFonts w:cs="Arial"/>
          <w:lang w:val="fr-FR"/>
        </w:rPr>
        <w:t xml:space="preserve">Exemple </w:t>
      </w:r>
    </w:p>
    <w:p w14:paraId="76AAE4B2" w14:textId="65812C1A" w:rsidR="002421E2" w:rsidRDefault="002421E2" w:rsidP="002421E2">
      <w:pPr>
        <w:rPr>
          <w:lang w:val="fr-FR"/>
        </w:rPr>
      </w:pPr>
      <w:r>
        <w:rPr>
          <w:lang w:val="fr-FR"/>
        </w:rPr>
        <w:t xml:space="preserve">Un dirigeant indépendant reçoit en juin une </w:t>
      </w:r>
      <w:r>
        <w:rPr>
          <w:b/>
          <w:lang w:val="fr-FR"/>
        </w:rPr>
        <w:t>rémunération périodique</w:t>
      </w:r>
      <w:r>
        <w:rPr>
          <w:lang w:val="fr-FR"/>
        </w:rPr>
        <w:t xml:space="preserve"> de 4.000 €. Il a deux enfants à charge et son épouse n'a pas de revenu professionnel. En juin </w:t>
      </w:r>
      <w:r w:rsidR="00F23AE5">
        <w:rPr>
          <w:lang w:val="fr-FR"/>
        </w:rPr>
        <w:t>2020</w:t>
      </w:r>
      <w:r>
        <w:rPr>
          <w:lang w:val="fr-FR"/>
        </w:rPr>
        <w:t xml:space="preserve"> l’assemblée générale de la société décide de lui octroyer un tantième relatif à l’année </w:t>
      </w:r>
      <w:r w:rsidR="00843C39">
        <w:rPr>
          <w:lang w:val="fr-FR"/>
        </w:rPr>
        <w:t>2019</w:t>
      </w:r>
      <w:r w:rsidR="00FD2A49">
        <w:rPr>
          <w:lang w:val="fr-FR"/>
        </w:rPr>
        <w:t xml:space="preserve"> </w:t>
      </w:r>
      <w:r>
        <w:rPr>
          <w:lang w:val="fr-FR"/>
        </w:rPr>
        <w:t>d’un montant de</w:t>
      </w:r>
      <w:r w:rsidR="002B1478">
        <w:rPr>
          <w:lang w:val="fr-FR"/>
        </w:rPr>
        <w:t xml:space="preserve"> </w:t>
      </w:r>
      <w:r>
        <w:rPr>
          <w:lang w:val="fr-FR"/>
        </w:rPr>
        <w:t>20.000 €</w:t>
      </w:r>
      <w:r w:rsidRPr="007856FE">
        <w:rPr>
          <w:lang w:val="fr-FR"/>
        </w:rPr>
        <w:t>.</w:t>
      </w:r>
      <w:r w:rsidR="002B1478" w:rsidRPr="007856FE">
        <w:rPr>
          <w:lang w:val="fr-FR"/>
        </w:rPr>
        <w:t xml:space="preserve"> </w:t>
      </w:r>
      <w:r>
        <w:rPr>
          <w:lang w:val="fr-FR"/>
        </w:rPr>
        <w:t>Nous comparons ci-après le calcul du précompte professionnel d'un dirigeant résident et d'un dirigeant non-résident.</w:t>
      </w:r>
    </w:p>
    <w:p w14:paraId="15147E79" w14:textId="52855923" w:rsidR="002421E2" w:rsidRDefault="002421E2" w:rsidP="002421E2">
      <w:pPr>
        <w:rPr>
          <w:lang w:val="fr-FR"/>
        </w:rPr>
      </w:pPr>
      <w:r>
        <w:rPr>
          <w:lang w:val="fr-FR"/>
        </w:rPr>
        <w:t xml:space="preserve">Remarque : les calculs suivants ont été effectués sur la base de montants applicables à l'exercice d'imposition </w:t>
      </w:r>
      <w:r w:rsidR="00233B79">
        <w:rPr>
          <w:lang w:val="fr-FR"/>
        </w:rPr>
        <w:t>2021</w:t>
      </w:r>
      <w:r w:rsidR="006714BF">
        <w:rPr>
          <w:lang w:val="fr-FR"/>
        </w:rPr>
        <w:t>,</w:t>
      </w:r>
      <w:r>
        <w:rPr>
          <w:lang w:val="fr-FR"/>
        </w:rPr>
        <w:t xml:space="preserve"> revenus </w:t>
      </w:r>
      <w:r w:rsidR="00233B79">
        <w:rPr>
          <w:lang w:val="fr-FR"/>
        </w:rPr>
        <w:t>2020</w:t>
      </w:r>
      <w:r>
        <w:rPr>
          <w:lang w:val="fr-FR"/>
        </w:rPr>
        <w:t>.</w:t>
      </w:r>
    </w:p>
    <w:p w14:paraId="4E449A88" w14:textId="77777777" w:rsidR="002421E2" w:rsidRDefault="002421E2" w:rsidP="002421E2">
      <w:pPr>
        <w:pStyle w:val="HIFTitre3"/>
        <w:rPr>
          <w:lang w:val="fr-FR"/>
        </w:rPr>
      </w:pPr>
      <w:r>
        <w:rPr>
          <w:lang w:val="fr-FR"/>
        </w:rPr>
        <w:t>Calcul du précompte sur la rémunération mensuelle brute</w:t>
      </w:r>
    </w:p>
    <w:p w14:paraId="38E9448C" w14:textId="77777777" w:rsidR="002421E2" w:rsidRDefault="002421E2" w:rsidP="002421E2">
      <w:pPr>
        <w:pStyle w:val="HIFTitre3"/>
        <w:rPr>
          <w:lang w:val="fr-FR"/>
        </w:rPr>
      </w:pPr>
    </w:p>
    <w:tbl>
      <w:tblPr>
        <w:tblW w:w="9241" w:type="dxa"/>
        <w:tblInd w:w="-15" w:type="dxa"/>
        <w:tblLayout w:type="fixed"/>
        <w:tblLook w:val="0000" w:firstRow="0" w:lastRow="0" w:firstColumn="0" w:lastColumn="0" w:noHBand="0" w:noVBand="0"/>
      </w:tblPr>
      <w:tblGrid>
        <w:gridCol w:w="5778"/>
        <w:gridCol w:w="1168"/>
        <w:gridCol w:w="1100"/>
        <w:gridCol w:w="1195"/>
      </w:tblGrid>
      <w:tr w:rsidR="002421E2" w14:paraId="7E82643A" w14:textId="77777777" w:rsidTr="583BB7D7">
        <w:tc>
          <w:tcPr>
            <w:tcW w:w="5778" w:type="dxa"/>
            <w:tcBorders>
              <w:top w:val="single" w:sz="12" w:space="0" w:color="000000" w:themeColor="text1"/>
              <w:left w:val="single" w:sz="12" w:space="0" w:color="000000" w:themeColor="text1"/>
              <w:bottom w:val="double" w:sz="6" w:space="0" w:color="000000" w:themeColor="text1"/>
            </w:tcBorders>
            <w:shd w:val="clear" w:color="auto" w:fill="auto"/>
          </w:tcPr>
          <w:p w14:paraId="67F79356" w14:textId="77777777" w:rsidR="002421E2" w:rsidRDefault="002421E2" w:rsidP="00357D26">
            <w:pPr>
              <w:snapToGrid w:val="0"/>
              <w:rPr>
                <w:sz w:val="16"/>
                <w:szCs w:val="16"/>
                <w:lang w:val="fr-FR"/>
              </w:rPr>
            </w:pPr>
          </w:p>
        </w:tc>
        <w:tc>
          <w:tcPr>
            <w:tcW w:w="1168" w:type="dxa"/>
            <w:tcBorders>
              <w:top w:val="single" w:sz="12" w:space="0" w:color="000000" w:themeColor="text1"/>
              <w:bottom w:val="double" w:sz="6" w:space="0" w:color="000000" w:themeColor="text1"/>
            </w:tcBorders>
            <w:shd w:val="clear" w:color="auto" w:fill="auto"/>
          </w:tcPr>
          <w:p w14:paraId="1FDC3A56" w14:textId="77777777" w:rsidR="002421E2" w:rsidRDefault="002421E2" w:rsidP="00357D26">
            <w:pPr>
              <w:snapToGrid w:val="0"/>
              <w:rPr>
                <w:sz w:val="16"/>
                <w:szCs w:val="16"/>
                <w:lang w:val="fr-FR"/>
              </w:rPr>
            </w:pPr>
          </w:p>
        </w:tc>
        <w:tc>
          <w:tcPr>
            <w:tcW w:w="1100" w:type="dxa"/>
            <w:tcBorders>
              <w:top w:val="single" w:sz="12" w:space="0" w:color="000000" w:themeColor="text1"/>
              <w:bottom w:val="double" w:sz="6" w:space="0" w:color="000000" w:themeColor="text1"/>
            </w:tcBorders>
            <w:shd w:val="clear" w:color="auto" w:fill="auto"/>
          </w:tcPr>
          <w:p w14:paraId="5EB6C4E4" w14:textId="77777777" w:rsidR="002421E2" w:rsidRDefault="002421E2" w:rsidP="00357D26">
            <w:pPr>
              <w:rPr>
                <w:b/>
                <w:lang w:val="fr-FR"/>
              </w:rPr>
            </w:pPr>
            <w:r>
              <w:rPr>
                <w:b/>
                <w:lang w:val="fr-FR"/>
              </w:rPr>
              <w:t>Résident</w:t>
            </w:r>
          </w:p>
        </w:tc>
        <w:tc>
          <w:tcPr>
            <w:tcW w:w="1195" w:type="dxa"/>
            <w:tcBorders>
              <w:top w:val="single" w:sz="12" w:space="0" w:color="000000" w:themeColor="text1"/>
              <w:bottom w:val="double" w:sz="6" w:space="0" w:color="000000" w:themeColor="text1"/>
              <w:right w:val="single" w:sz="12" w:space="0" w:color="000000" w:themeColor="text1"/>
            </w:tcBorders>
            <w:shd w:val="clear" w:color="auto" w:fill="auto"/>
          </w:tcPr>
          <w:p w14:paraId="24AC3BE4" w14:textId="77777777" w:rsidR="002421E2" w:rsidRDefault="002421E2" w:rsidP="00357D26">
            <w:r>
              <w:rPr>
                <w:b/>
                <w:lang w:val="fr-FR"/>
              </w:rPr>
              <w:t>Non résident</w:t>
            </w:r>
          </w:p>
        </w:tc>
      </w:tr>
      <w:tr w:rsidR="002421E2" w:rsidRPr="003D2D14" w14:paraId="7E4931A0" w14:textId="77777777" w:rsidTr="583BB7D7">
        <w:tc>
          <w:tcPr>
            <w:tcW w:w="5778" w:type="dxa"/>
            <w:tcBorders>
              <w:left w:val="single" w:sz="12" w:space="0" w:color="000000" w:themeColor="text1"/>
            </w:tcBorders>
            <w:shd w:val="clear" w:color="auto" w:fill="auto"/>
          </w:tcPr>
          <w:p w14:paraId="6B4C136F" w14:textId="77777777" w:rsidR="002421E2" w:rsidRDefault="002421E2" w:rsidP="00357D26">
            <w:pPr>
              <w:rPr>
                <w:b/>
                <w:bCs/>
                <w:sz w:val="24"/>
                <w:szCs w:val="24"/>
                <w:lang w:val="fr-FR"/>
              </w:rPr>
            </w:pPr>
            <w:r>
              <w:rPr>
                <w:b/>
                <w:sz w:val="24"/>
                <w:szCs w:val="24"/>
                <w:lang w:val="fr-FR"/>
              </w:rPr>
              <w:t>Calcul de la base imposable</w:t>
            </w:r>
          </w:p>
        </w:tc>
        <w:tc>
          <w:tcPr>
            <w:tcW w:w="1168" w:type="dxa"/>
            <w:shd w:val="clear" w:color="auto" w:fill="auto"/>
          </w:tcPr>
          <w:p w14:paraId="609267A8" w14:textId="77777777" w:rsidR="002421E2" w:rsidRDefault="002421E2" w:rsidP="00357D26">
            <w:pPr>
              <w:snapToGrid w:val="0"/>
              <w:rPr>
                <w:b/>
                <w:bCs/>
                <w:sz w:val="24"/>
                <w:szCs w:val="24"/>
                <w:lang w:val="fr-FR"/>
              </w:rPr>
            </w:pPr>
          </w:p>
        </w:tc>
        <w:tc>
          <w:tcPr>
            <w:tcW w:w="1100" w:type="dxa"/>
            <w:shd w:val="clear" w:color="auto" w:fill="auto"/>
          </w:tcPr>
          <w:p w14:paraId="6B9F8C3E" w14:textId="77777777" w:rsidR="002421E2" w:rsidRDefault="002421E2" w:rsidP="00357D26">
            <w:pPr>
              <w:snapToGrid w:val="0"/>
              <w:rPr>
                <w:b/>
                <w:bCs/>
                <w:sz w:val="24"/>
                <w:szCs w:val="24"/>
                <w:lang w:val="fr-FR"/>
              </w:rPr>
            </w:pPr>
          </w:p>
        </w:tc>
        <w:tc>
          <w:tcPr>
            <w:tcW w:w="1195" w:type="dxa"/>
            <w:tcBorders>
              <w:right w:val="single" w:sz="12" w:space="0" w:color="000000" w:themeColor="text1"/>
            </w:tcBorders>
            <w:shd w:val="clear" w:color="auto" w:fill="auto"/>
          </w:tcPr>
          <w:p w14:paraId="62D41C29" w14:textId="77777777" w:rsidR="002421E2" w:rsidRDefault="002421E2" w:rsidP="00357D26">
            <w:pPr>
              <w:snapToGrid w:val="0"/>
              <w:rPr>
                <w:b/>
                <w:bCs/>
                <w:sz w:val="24"/>
                <w:szCs w:val="24"/>
                <w:lang w:val="fr-FR"/>
              </w:rPr>
            </w:pPr>
          </w:p>
        </w:tc>
      </w:tr>
      <w:tr w:rsidR="002421E2" w14:paraId="559B40D9" w14:textId="77777777" w:rsidTr="583BB7D7">
        <w:tc>
          <w:tcPr>
            <w:tcW w:w="5778" w:type="dxa"/>
            <w:tcBorders>
              <w:left w:val="single" w:sz="12" w:space="0" w:color="000000" w:themeColor="text1"/>
            </w:tcBorders>
            <w:shd w:val="clear" w:color="auto" w:fill="auto"/>
          </w:tcPr>
          <w:p w14:paraId="5901B412" w14:textId="77777777" w:rsidR="002421E2" w:rsidRDefault="002421E2" w:rsidP="00357D26">
            <w:pPr>
              <w:rPr>
                <w:rFonts w:eastAsia="Arial"/>
                <w:b/>
                <w:bCs/>
                <w:lang w:val="fr-FR"/>
              </w:rPr>
            </w:pPr>
            <w:r>
              <w:rPr>
                <w:lang w:val="fr-FR"/>
              </w:rPr>
              <w:t>Rémunération mensuelle brute</w:t>
            </w:r>
          </w:p>
        </w:tc>
        <w:tc>
          <w:tcPr>
            <w:tcW w:w="1168" w:type="dxa"/>
            <w:shd w:val="clear" w:color="auto" w:fill="auto"/>
          </w:tcPr>
          <w:p w14:paraId="3165F493" w14:textId="0A35580B" w:rsidR="002421E2" w:rsidRDefault="002421E2" w:rsidP="00596F57">
            <w:pPr>
              <w:rPr>
                <w:rFonts w:eastAsia="Arial"/>
                <w:b/>
                <w:bCs/>
                <w:lang w:val="fr-FR"/>
              </w:rPr>
            </w:pPr>
            <w:r>
              <w:rPr>
                <w:b/>
                <w:bCs/>
                <w:lang w:val="fr-FR"/>
              </w:rPr>
              <w:t>4.000,</w:t>
            </w:r>
            <w:r w:rsidR="00F84533">
              <w:rPr>
                <w:b/>
                <w:bCs/>
                <w:lang w:val="fr-FR"/>
              </w:rPr>
              <w:t>00</w:t>
            </w:r>
          </w:p>
        </w:tc>
        <w:tc>
          <w:tcPr>
            <w:tcW w:w="1100" w:type="dxa"/>
            <w:shd w:val="clear" w:color="auto" w:fill="auto"/>
          </w:tcPr>
          <w:p w14:paraId="2F6483AB" w14:textId="77777777" w:rsidR="002421E2" w:rsidRDefault="002421E2" w:rsidP="00357D26">
            <w:pPr>
              <w:jc w:val="right"/>
              <w:rPr>
                <w:rFonts w:eastAsia="Arial"/>
                <w:b/>
                <w:bCs/>
                <w:lang w:val="fr-FR"/>
              </w:rPr>
            </w:pPr>
            <w:r>
              <w:rPr>
                <w:rFonts w:eastAsia="Arial"/>
                <w:b/>
                <w:bCs/>
                <w:lang w:val="fr-FR"/>
              </w:rPr>
              <w:t xml:space="preserve"> </w:t>
            </w:r>
            <w:r>
              <w:rPr>
                <w:b/>
                <w:bCs/>
                <w:lang w:val="fr-FR"/>
              </w:rPr>
              <w:t>4.000,00</w:t>
            </w:r>
          </w:p>
        </w:tc>
        <w:tc>
          <w:tcPr>
            <w:tcW w:w="1195" w:type="dxa"/>
            <w:tcBorders>
              <w:right w:val="single" w:sz="12" w:space="0" w:color="000000" w:themeColor="text1"/>
            </w:tcBorders>
            <w:shd w:val="clear" w:color="auto" w:fill="auto"/>
          </w:tcPr>
          <w:p w14:paraId="3E1C0FE9" w14:textId="77777777" w:rsidR="002421E2" w:rsidRDefault="002421E2" w:rsidP="00357D26">
            <w:r>
              <w:rPr>
                <w:rFonts w:eastAsia="Arial"/>
                <w:b/>
                <w:bCs/>
                <w:lang w:val="fr-FR"/>
              </w:rPr>
              <w:t xml:space="preserve"> </w:t>
            </w:r>
            <w:r>
              <w:rPr>
                <w:b/>
                <w:bCs/>
                <w:lang w:val="fr-FR"/>
              </w:rPr>
              <w:t>4.000,00</w:t>
            </w:r>
          </w:p>
        </w:tc>
      </w:tr>
      <w:tr w:rsidR="002421E2" w:rsidRPr="006E3169" w14:paraId="27040E1C" w14:textId="77777777" w:rsidTr="583BB7D7">
        <w:tc>
          <w:tcPr>
            <w:tcW w:w="5778" w:type="dxa"/>
            <w:tcBorders>
              <w:left w:val="single" w:sz="12" w:space="0" w:color="000000" w:themeColor="text1"/>
            </w:tcBorders>
            <w:shd w:val="clear" w:color="auto" w:fill="auto"/>
          </w:tcPr>
          <w:p w14:paraId="4013B18E" w14:textId="44B831BE" w:rsidR="002421E2" w:rsidRDefault="002421E2" w:rsidP="00930D61">
            <w:pPr>
              <w:rPr>
                <w:rFonts w:eastAsia="Arial"/>
                <w:b/>
                <w:bCs/>
                <w:u w:val="single"/>
                <w:lang w:val="fr-FR"/>
              </w:rPr>
            </w:pPr>
            <w:r w:rsidRPr="583BB7D7">
              <w:rPr>
                <w:lang w:val="fr-FR"/>
              </w:rPr>
              <w:t xml:space="preserve">Réduction des cotisations sociales des indépendants </w:t>
            </w:r>
            <w:r w:rsidRPr="003D2D14">
              <w:rPr>
                <w:lang w:val="fr-FR"/>
              </w:rPr>
              <w:br/>
            </w:r>
            <w:r w:rsidRPr="583BB7D7">
              <w:rPr>
                <w:lang w:val="fr-FR"/>
              </w:rPr>
              <w:t xml:space="preserve">(Annexe III pt 1 C) </w:t>
            </w:r>
            <w:r w:rsidR="547C0763" w:rsidRPr="583BB7D7">
              <w:rPr>
                <w:lang w:val="fr-FR"/>
              </w:rPr>
              <w:t>330</w:t>
            </w:r>
            <w:r w:rsidR="00DF0F7E" w:rsidRPr="583BB7D7">
              <w:rPr>
                <w:lang w:val="fr-FR"/>
              </w:rPr>
              <w:t xml:space="preserve"> </w:t>
            </w:r>
            <w:r w:rsidRPr="583BB7D7">
              <w:rPr>
                <w:lang w:val="fr-FR"/>
              </w:rPr>
              <w:t xml:space="preserve">€ + (4.000 – </w:t>
            </w:r>
            <w:r w:rsidR="333B26ED" w:rsidRPr="583BB7D7">
              <w:rPr>
                <w:lang w:val="fr-FR"/>
              </w:rPr>
              <w:t>1.190</w:t>
            </w:r>
            <w:r w:rsidR="003A245E" w:rsidRPr="583BB7D7">
              <w:rPr>
                <w:lang w:val="fr-FR"/>
              </w:rPr>
              <w:t>,00</w:t>
            </w:r>
            <w:r w:rsidRPr="583BB7D7">
              <w:rPr>
                <w:lang w:val="fr-FR"/>
              </w:rPr>
              <w:t xml:space="preserve">) x </w:t>
            </w:r>
            <w:r w:rsidR="00930D61" w:rsidRPr="583BB7D7">
              <w:rPr>
                <w:lang w:val="fr-FR"/>
              </w:rPr>
              <w:t>21,50</w:t>
            </w:r>
            <w:r w:rsidRPr="583BB7D7">
              <w:rPr>
                <w:lang w:val="fr-FR"/>
              </w:rPr>
              <w:t xml:space="preserve"> % =</w:t>
            </w:r>
          </w:p>
        </w:tc>
        <w:tc>
          <w:tcPr>
            <w:tcW w:w="1168" w:type="dxa"/>
            <w:shd w:val="clear" w:color="auto" w:fill="auto"/>
          </w:tcPr>
          <w:p w14:paraId="56BF1FA5" w14:textId="69590EED" w:rsidR="002421E2" w:rsidRDefault="002421E2" w:rsidP="583BB7D7">
            <w:pPr>
              <w:jc w:val="right"/>
              <w:rPr>
                <w:b/>
                <w:bCs/>
                <w:u w:val="single"/>
                <w:lang w:val="fr-FR"/>
              </w:rPr>
            </w:pPr>
            <w:r>
              <w:rPr>
                <w:rFonts w:eastAsia="Arial"/>
                <w:b/>
                <w:bCs/>
                <w:u w:val="single"/>
                <w:lang w:val="fr-FR"/>
              </w:rPr>
              <w:t xml:space="preserve">  </w:t>
            </w:r>
            <w:r>
              <w:rPr>
                <w:b/>
                <w:bCs/>
                <w:u w:val="single"/>
                <w:lang w:val="fr-FR"/>
              </w:rPr>
              <w:t xml:space="preserve">- </w:t>
            </w:r>
            <w:r w:rsidR="00930D61">
              <w:rPr>
                <w:b/>
                <w:bCs/>
                <w:u w:val="single"/>
                <w:lang w:val="fr-FR"/>
              </w:rPr>
              <w:t xml:space="preserve"> </w:t>
            </w:r>
          </w:p>
          <w:p w14:paraId="4E8F5D91" w14:textId="411135B1" w:rsidR="002421E2" w:rsidRDefault="7F2C5AED" w:rsidP="583BB7D7">
            <w:pPr>
              <w:jc w:val="right"/>
              <w:rPr>
                <w:b/>
                <w:bCs/>
                <w:u w:val="single"/>
                <w:lang w:val="fr-FR"/>
              </w:rPr>
            </w:pPr>
            <w:r w:rsidRPr="583BB7D7">
              <w:rPr>
                <w:b/>
                <w:bCs/>
                <w:u w:val="single"/>
                <w:lang w:val="fr-FR"/>
              </w:rPr>
              <w:t>934,15</w:t>
            </w:r>
          </w:p>
        </w:tc>
        <w:tc>
          <w:tcPr>
            <w:tcW w:w="1100" w:type="dxa"/>
            <w:shd w:val="clear" w:color="auto" w:fill="auto"/>
          </w:tcPr>
          <w:p w14:paraId="6D055A5E"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0168A810" w14:textId="77777777" w:rsidR="002421E2" w:rsidRDefault="002421E2" w:rsidP="00357D26">
            <w:pPr>
              <w:snapToGrid w:val="0"/>
              <w:rPr>
                <w:b/>
                <w:bCs/>
                <w:lang w:val="fr-FR"/>
              </w:rPr>
            </w:pPr>
          </w:p>
        </w:tc>
      </w:tr>
      <w:tr w:rsidR="002421E2" w:rsidRPr="006E3169" w14:paraId="7A0F829B" w14:textId="77777777" w:rsidTr="583BB7D7">
        <w:tc>
          <w:tcPr>
            <w:tcW w:w="5778" w:type="dxa"/>
            <w:tcBorders>
              <w:left w:val="single" w:sz="12" w:space="0" w:color="000000" w:themeColor="text1"/>
            </w:tcBorders>
            <w:shd w:val="clear" w:color="auto" w:fill="auto"/>
          </w:tcPr>
          <w:p w14:paraId="619E06A9" w14:textId="77777777" w:rsidR="002421E2" w:rsidRDefault="002421E2" w:rsidP="00357D26">
            <w:pPr>
              <w:rPr>
                <w:b/>
                <w:bCs/>
                <w:lang w:val="fr-FR"/>
              </w:rPr>
            </w:pPr>
            <w:r>
              <w:rPr>
                <w:lang w:val="fr-FR"/>
              </w:rPr>
              <w:t xml:space="preserve">Base imposable </w:t>
            </w:r>
            <w:r>
              <w:rPr>
                <w:lang w:val="fr-FR"/>
              </w:rPr>
              <w:tab/>
            </w:r>
          </w:p>
        </w:tc>
        <w:tc>
          <w:tcPr>
            <w:tcW w:w="1168" w:type="dxa"/>
            <w:shd w:val="clear" w:color="auto" w:fill="auto"/>
          </w:tcPr>
          <w:p w14:paraId="34255D09" w14:textId="160E3F1B" w:rsidR="002421E2" w:rsidRDefault="002421E2" w:rsidP="003D2D14">
            <w:pPr>
              <w:spacing w:after="0"/>
              <w:jc w:val="right"/>
              <w:rPr>
                <w:rFonts w:ascii="Calibri" w:eastAsia="Calibri" w:hAnsi="Calibri" w:cs="Calibri"/>
                <w:lang w:val="fr-FR"/>
              </w:rPr>
            </w:pPr>
          </w:p>
          <w:p w14:paraId="06727979" w14:textId="29C359A0" w:rsidR="002421E2" w:rsidRDefault="12BABC8F" w:rsidP="583BB7D7">
            <w:pPr>
              <w:spacing w:after="0"/>
              <w:jc w:val="right"/>
              <w:rPr>
                <w:rFonts w:ascii="Calibri" w:eastAsia="Calibri" w:hAnsi="Calibri" w:cs="Calibri"/>
                <w:lang w:val="fr-FR"/>
              </w:rPr>
            </w:pPr>
            <w:r w:rsidRPr="583BB7D7">
              <w:rPr>
                <w:b/>
                <w:bCs/>
                <w:lang w:val="fr-FR"/>
              </w:rPr>
              <w:t>3.065,85</w:t>
            </w:r>
          </w:p>
        </w:tc>
        <w:tc>
          <w:tcPr>
            <w:tcW w:w="1100" w:type="dxa"/>
            <w:shd w:val="clear" w:color="auto" w:fill="auto"/>
          </w:tcPr>
          <w:p w14:paraId="70AABA52"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60BAD1CD" w14:textId="77777777" w:rsidR="002421E2" w:rsidRDefault="002421E2" w:rsidP="00357D26">
            <w:pPr>
              <w:snapToGrid w:val="0"/>
              <w:rPr>
                <w:b/>
                <w:bCs/>
                <w:lang w:val="fr-FR"/>
              </w:rPr>
            </w:pPr>
          </w:p>
        </w:tc>
      </w:tr>
      <w:tr w:rsidR="002421E2" w:rsidRPr="006E3169" w14:paraId="0FBFB25C" w14:textId="77777777" w:rsidTr="583BB7D7">
        <w:tc>
          <w:tcPr>
            <w:tcW w:w="5778" w:type="dxa"/>
            <w:tcBorders>
              <w:left w:val="single" w:sz="12" w:space="0" w:color="000000" w:themeColor="text1"/>
            </w:tcBorders>
            <w:shd w:val="clear" w:color="auto" w:fill="auto"/>
          </w:tcPr>
          <w:p w14:paraId="40126C0B" w14:textId="77777777" w:rsidR="002421E2" w:rsidRDefault="002421E2" w:rsidP="00357D26">
            <w:pPr>
              <w:rPr>
                <w:b/>
                <w:bCs/>
                <w:lang w:val="fr-FR"/>
              </w:rPr>
            </w:pPr>
            <w:r>
              <w:rPr>
                <w:b/>
                <w:lang w:val="fr-FR"/>
              </w:rPr>
              <w:t>Calcul du précompte professionnel</w:t>
            </w:r>
          </w:p>
        </w:tc>
        <w:tc>
          <w:tcPr>
            <w:tcW w:w="1168" w:type="dxa"/>
            <w:shd w:val="clear" w:color="auto" w:fill="auto"/>
          </w:tcPr>
          <w:p w14:paraId="1DC7C607" w14:textId="77777777" w:rsidR="002421E2" w:rsidRDefault="002421E2" w:rsidP="00357D26">
            <w:pPr>
              <w:snapToGrid w:val="0"/>
              <w:jc w:val="right"/>
              <w:rPr>
                <w:b/>
                <w:bCs/>
                <w:lang w:val="fr-FR"/>
              </w:rPr>
            </w:pPr>
          </w:p>
        </w:tc>
        <w:tc>
          <w:tcPr>
            <w:tcW w:w="1100" w:type="dxa"/>
            <w:shd w:val="clear" w:color="auto" w:fill="auto"/>
          </w:tcPr>
          <w:p w14:paraId="1404C0D4"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15664708" w14:textId="77777777" w:rsidR="002421E2" w:rsidRDefault="002421E2" w:rsidP="00357D26">
            <w:pPr>
              <w:snapToGrid w:val="0"/>
              <w:rPr>
                <w:b/>
                <w:bCs/>
                <w:lang w:val="fr-FR"/>
              </w:rPr>
            </w:pPr>
          </w:p>
        </w:tc>
      </w:tr>
      <w:tr w:rsidR="002421E2" w:rsidRPr="006E3169" w14:paraId="57E48A84" w14:textId="77777777" w:rsidTr="583BB7D7">
        <w:tc>
          <w:tcPr>
            <w:tcW w:w="5778" w:type="dxa"/>
            <w:tcBorders>
              <w:left w:val="single" w:sz="12" w:space="0" w:color="000000" w:themeColor="text1"/>
            </w:tcBorders>
            <w:shd w:val="clear" w:color="auto" w:fill="auto"/>
          </w:tcPr>
          <w:p w14:paraId="482A2C98" w14:textId="77777777" w:rsidR="002421E2" w:rsidRDefault="002421E2" w:rsidP="00357D26">
            <w:pPr>
              <w:rPr>
                <w:b/>
                <w:bCs/>
                <w:lang w:val="fr-FR"/>
              </w:rPr>
            </w:pPr>
            <w:r>
              <w:rPr>
                <w:b/>
                <w:lang w:val="fr-FR"/>
              </w:rPr>
              <w:t xml:space="preserve">1 </w:t>
            </w:r>
            <w:r>
              <w:rPr>
                <w:lang w:val="fr-FR"/>
              </w:rPr>
              <w:t>du</w:t>
            </w:r>
            <w:r>
              <w:rPr>
                <w:i/>
                <w:lang w:val="fr-FR"/>
              </w:rPr>
              <w:t xml:space="preserve"> </w:t>
            </w:r>
            <w:r>
              <w:rPr>
                <w:b/>
                <w:i/>
                <w:lang w:val="fr-FR"/>
              </w:rPr>
              <w:t>résident</w:t>
            </w:r>
          </w:p>
        </w:tc>
        <w:tc>
          <w:tcPr>
            <w:tcW w:w="1168" w:type="dxa"/>
            <w:shd w:val="clear" w:color="auto" w:fill="auto"/>
          </w:tcPr>
          <w:p w14:paraId="14FD8D67" w14:textId="77777777" w:rsidR="002421E2" w:rsidRDefault="002421E2" w:rsidP="00357D26">
            <w:pPr>
              <w:snapToGrid w:val="0"/>
              <w:jc w:val="right"/>
              <w:rPr>
                <w:b/>
                <w:bCs/>
                <w:lang w:val="fr-FR"/>
              </w:rPr>
            </w:pPr>
          </w:p>
        </w:tc>
        <w:tc>
          <w:tcPr>
            <w:tcW w:w="1100" w:type="dxa"/>
            <w:shd w:val="clear" w:color="auto" w:fill="auto"/>
          </w:tcPr>
          <w:p w14:paraId="5E265526"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7F9D7D80" w14:textId="77777777" w:rsidR="002421E2" w:rsidRDefault="002421E2" w:rsidP="00357D26">
            <w:pPr>
              <w:snapToGrid w:val="0"/>
              <w:rPr>
                <w:b/>
                <w:bCs/>
                <w:lang w:val="fr-FR"/>
              </w:rPr>
            </w:pPr>
          </w:p>
        </w:tc>
      </w:tr>
      <w:tr w:rsidR="002421E2" w:rsidRPr="003D2D14" w14:paraId="089F2223" w14:textId="77777777" w:rsidTr="583BB7D7">
        <w:trPr>
          <w:trHeight w:val="605"/>
        </w:trPr>
        <w:tc>
          <w:tcPr>
            <w:tcW w:w="5778" w:type="dxa"/>
            <w:tcBorders>
              <w:left w:val="single" w:sz="12" w:space="0" w:color="000000" w:themeColor="text1"/>
            </w:tcBorders>
            <w:shd w:val="clear" w:color="auto" w:fill="auto"/>
          </w:tcPr>
          <w:p w14:paraId="75A2BCE5" w14:textId="77777777" w:rsidR="002421E2" w:rsidRDefault="002421E2" w:rsidP="00357D26">
            <w:pPr>
              <w:rPr>
                <w:b/>
                <w:bCs/>
                <w:lang w:val="fr-FR"/>
              </w:rPr>
            </w:pPr>
            <w:r>
              <w:rPr>
                <w:i/>
                <w:lang w:val="fr-FR"/>
              </w:rPr>
              <w:t>L'épouse n'a pas de revenu : on utilisera donc le Barème II</w:t>
            </w:r>
          </w:p>
        </w:tc>
        <w:tc>
          <w:tcPr>
            <w:tcW w:w="1168" w:type="dxa"/>
            <w:shd w:val="clear" w:color="auto" w:fill="auto"/>
          </w:tcPr>
          <w:p w14:paraId="7F35A050" w14:textId="77777777" w:rsidR="002421E2" w:rsidRDefault="002421E2" w:rsidP="00357D26">
            <w:pPr>
              <w:snapToGrid w:val="0"/>
              <w:jc w:val="right"/>
              <w:rPr>
                <w:b/>
                <w:bCs/>
                <w:lang w:val="fr-FR"/>
              </w:rPr>
            </w:pPr>
          </w:p>
        </w:tc>
        <w:tc>
          <w:tcPr>
            <w:tcW w:w="1100" w:type="dxa"/>
            <w:shd w:val="clear" w:color="auto" w:fill="auto"/>
          </w:tcPr>
          <w:p w14:paraId="47541878"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003B93BB" w14:textId="77777777" w:rsidR="002421E2" w:rsidRDefault="002421E2" w:rsidP="00357D26">
            <w:pPr>
              <w:snapToGrid w:val="0"/>
              <w:rPr>
                <w:b/>
                <w:bCs/>
                <w:lang w:val="fr-FR"/>
              </w:rPr>
            </w:pPr>
          </w:p>
        </w:tc>
      </w:tr>
      <w:tr w:rsidR="002421E2" w14:paraId="05AD93E8" w14:textId="77777777" w:rsidTr="583BB7D7">
        <w:trPr>
          <w:trHeight w:val="833"/>
        </w:trPr>
        <w:tc>
          <w:tcPr>
            <w:tcW w:w="5778" w:type="dxa"/>
            <w:tcBorders>
              <w:left w:val="single" w:sz="12" w:space="0" w:color="000000" w:themeColor="text1"/>
            </w:tcBorders>
            <w:shd w:val="clear" w:color="auto" w:fill="auto"/>
          </w:tcPr>
          <w:p w14:paraId="5BED4AD8" w14:textId="3B97B518" w:rsidR="002421E2" w:rsidRDefault="002421E2" w:rsidP="00DF0F7E">
            <w:pPr>
              <w:rPr>
                <w:b/>
                <w:bCs/>
                <w:lang w:val="fr-FR"/>
              </w:rPr>
            </w:pPr>
            <w:r w:rsidRPr="583BB7D7">
              <w:rPr>
                <w:lang w:val="fr-FR"/>
              </w:rPr>
              <w:t xml:space="preserve">Précompte professionnel sur un imposable de </w:t>
            </w:r>
            <w:r w:rsidR="73C18854" w:rsidRPr="583BB7D7">
              <w:rPr>
                <w:lang w:val="fr-FR"/>
              </w:rPr>
              <w:t>3.060</w:t>
            </w:r>
            <w:r w:rsidR="00DF0F7E" w:rsidRPr="583BB7D7">
              <w:rPr>
                <w:lang w:val="fr-FR"/>
              </w:rPr>
              <w:t xml:space="preserve"> € </w:t>
            </w:r>
            <w:r w:rsidRPr="583BB7D7">
              <w:rPr>
                <w:lang w:val="fr-FR"/>
              </w:rPr>
              <w:t>dans la colonne 3</w:t>
            </w:r>
          </w:p>
        </w:tc>
        <w:tc>
          <w:tcPr>
            <w:tcW w:w="1168" w:type="dxa"/>
            <w:shd w:val="clear" w:color="auto" w:fill="auto"/>
          </w:tcPr>
          <w:p w14:paraId="395D162E" w14:textId="77777777" w:rsidR="00BB575C" w:rsidRDefault="00BB575C" w:rsidP="00ED4E67">
            <w:pPr>
              <w:jc w:val="right"/>
              <w:rPr>
                <w:b/>
                <w:bCs/>
                <w:lang w:val="fr-FR"/>
              </w:rPr>
            </w:pPr>
          </w:p>
          <w:p w14:paraId="1ED6C3F1" w14:textId="460B1BBB" w:rsidR="006E3169" w:rsidRDefault="006E3169" w:rsidP="003D2D14">
            <w:pPr>
              <w:spacing w:after="0"/>
              <w:jc w:val="center"/>
              <w:rPr>
                <w:rFonts w:ascii="Calibri" w:eastAsia="Calibri" w:hAnsi="Calibri" w:cs="Calibri"/>
                <w:lang w:val="fr-FR"/>
              </w:rPr>
            </w:pPr>
          </w:p>
          <w:p w14:paraId="4328A579" w14:textId="70B933A0" w:rsidR="006E3169" w:rsidRDefault="3E6B6965" w:rsidP="583BB7D7">
            <w:pPr>
              <w:spacing w:after="0"/>
              <w:jc w:val="center"/>
              <w:rPr>
                <w:rFonts w:ascii="Calibri" w:eastAsia="Calibri" w:hAnsi="Calibri" w:cs="Calibri"/>
                <w:lang w:val="fr-FR"/>
              </w:rPr>
            </w:pPr>
            <w:r w:rsidRPr="583BB7D7">
              <w:rPr>
                <w:b/>
                <w:bCs/>
                <w:lang w:val="fr-FR"/>
              </w:rPr>
              <w:t>625,74</w:t>
            </w:r>
          </w:p>
        </w:tc>
        <w:tc>
          <w:tcPr>
            <w:tcW w:w="1100" w:type="dxa"/>
            <w:shd w:val="clear" w:color="auto" w:fill="auto"/>
          </w:tcPr>
          <w:p w14:paraId="0960E6BB"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65804A41" w14:textId="77777777" w:rsidR="002421E2" w:rsidRDefault="002421E2" w:rsidP="00357D26">
            <w:pPr>
              <w:snapToGrid w:val="0"/>
              <w:rPr>
                <w:b/>
                <w:bCs/>
                <w:lang w:val="fr-FR"/>
              </w:rPr>
            </w:pPr>
          </w:p>
        </w:tc>
      </w:tr>
      <w:tr w:rsidR="002421E2" w14:paraId="368DAB27" w14:textId="77777777" w:rsidTr="583BB7D7">
        <w:tc>
          <w:tcPr>
            <w:tcW w:w="5778" w:type="dxa"/>
            <w:tcBorders>
              <w:left w:val="single" w:sz="12" w:space="0" w:color="000000" w:themeColor="text1"/>
            </w:tcBorders>
            <w:shd w:val="clear" w:color="auto" w:fill="auto"/>
          </w:tcPr>
          <w:p w14:paraId="6F0FDB28" w14:textId="77777777" w:rsidR="002421E2" w:rsidRDefault="002421E2" w:rsidP="00357D26">
            <w:pPr>
              <w:rPr>
                <w:b/>
                <w:bCs/>
                <w:u w:val="single"/>
                <w:lang w:val="fr-FR"/>
              </w:rPr>
            </w:pPr>
            <w:r>
              <w:rPr>
                <w:lang w:val="fr-FR"/>
              </w:rPr>
              <w:t>Réduction pour enfant à charge</w:t>
            </w:r>
          </w:p>
        </w:tc>
        <w:tc>
          <w:tcPr>
            <w:tcW w:w="1168" w:type="dxa"/>
            <w:shd w:val="clear" w:color="auto" w:fill="auto"/>
          </w:tcPr>
          <w:p w14:paraId="5CA8C6BD" w14:textId="60EA11EB" w:rsidR="004C0AE0" w:rsidRPr="004C0AE0" w:rsidRDefault="006E3169" w:rsidP="583BB7D7">
            <w:pPr>
              <w:jc w:val="center"/>
              <w:rPr>
                <w:b/>
                <w:bCs/>
                <w:lang w:val="fr-FR"/>
              </w:rPr>
            </w:pPr>
            <w:r w:rsidRPr="583BB7D7">
              <w:rPr>
                <w:b/>
                <w:bCs/>
                <w:lang w:val="fr-FR"/>
              </w:rPr>
              <w:t xml:space="preserve">- </w:t>
            </w:r>
          </w:p>
          <w:p w14:paraId="4E57905B" w14:textId="61FA1A01" w:rsidR="004C0AE0" w:rsidRPr="004C0AE0" w:rsidRDefault="493722E6" w:rsidP="583BB7D7">
            <w:pPr>
              <w:jc w:val="center"/>
              <w:rPr>
                <w:b/>
                <w:bCs/>
                <w:lang w:val="fr-FR"/>
              </w:rPr>
            </w:pPr>
            <w:r w:rsidRPr="583BB7D7">
              <w:rPr>
                <w:b/>
                <w:bCs/>
                <w:lang w:val="fr-FR"/>
              </w:rPr>
              <w:t>106,00</w:t>
            </w:r>
          </w:p>
        </w:tc>
        <w:tc>
          <w:tcPr>
            <w:tcW w:w="1100" w:type="dxa"/>
            <w:shd w:val="clear" w:color="auto" w:fill="auto"/>
          </w:tcPr>
          <w:p w14:paraId="1049D298"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7B20DB65" w14:textId="77777777" w:rsidR="002421E2" w:rsidRDefault="002421E2" w:rsidP="00357D26">
            <w:pPr>
              <w:snapToGrid w:val="0"/>
              <w:rPr>
                <w:b/>
                <w:bCs/>
                <w:lang w:val="fr-FR"/>
              </w:rPr>
            </w:pPr>
          </w:p>
        </w:tc>
      </w:tr>
      <w:tr w:rsidR="002421E2" w14:paraId="3680F22E" w14:textId="77777777" w:rsidTr="583BB7D7">
        <w:tc>
          <w:tcPr>
            <w:tcW w:w="5778" w:type="dxa"/>
            <w:tcBorders>
              <w:left w:val="single" w:sz="12" w:space="0" w:color="000000" w:themeColor="text1"/>
            </w:tcBorders>
            <w:shd w:val="clear" w:color="auto" w:fill="auto"/>
          </w:tcPr>
          <w:p w14:paraId="0B472C9F" w14:textId="77777777" w:rsidR="002421E2" w:rsidRDefault="002421E2" w:rsidP="00357D26">
            <w:pPr>
              <w:rPr>
                <w:b/>
                <w:bCs/>
                <w:lang w:val="fr-FR"/>
              </w:rPr>
            </w:pPr>
            <w:r>
              <w:rPr>
                <w:lang w:val="fr-FR"/>
              </w:rPr>
              <w:t>Précompte à retenir</w:t>
            </w:r>
            <w:r>
              <w:rPr>
                <w:lang w:val="fr-FR"/>
              </w:rPr>
              <w:tab/>
            </w:r>
          </w:p>
        </w:tc>
        <w:tc>
          <w:tcPr>
            <w:tcW w:w="1168" w:type="dxa"/>
            <w:shd w:val="clear" w:color="auto" w:fill="auto"/>
          </w:tcPr>
          <w:p w14:paraId="28E4F2AD" w14:textId="0EBE54EB" w:rsidR="00ED4E67" w:rsidRDefault="00BB575C" w:rsidP="583BB7D7">
            <w:pPr>
              <w:jc w:val="center"/>
              <w:rPr>
                <w:b/>
                <w:bCs/>
                <w:lang w:val="fr-FR"/>
              </w:rPr>
            </w:pPr>
            <w:r w:rsidRPr="583BB7D7">
              <w:rPr>
                <w:b/>
                <w:bCs/>
                <w:lang w:val="fr-FR"/>
              </w:rPr>
              <w:t>-</w:t>
            </w:r>
          </w:p>
          <w:p w14:paraId="44877C45" w14:textId="65D28B59" w:rsidR="00ED4E67" w:rsidRDefault="7C6304E9" w:rsidP="00596F57">
            <w:pPr>
              <w:jc w:val="center"/>
              <w:rPr>
                <w:b/>
                <w:bCs/>
                <w:lang w:val="fr-FR"/>
              </w:rPr>
            </w:pPr>
            <w:r w:rsidRPr="583BB7D7">
              <w:rPr>
                <w:b/>
                <w:bCs/>
                <w:lang w:val="fr-FR"/>
              </w:rPr>
              <w:t>519,74</w:t>
            </w:r>
          </w:p>
          <w:p w14:paraId="1CB738DD" w14:textId="77777777" w:rsidR="002421E2" w:rsidRDefault="002421E2" w:rsidP="00ED4E67">
            <w:pPr>
              <w:jc w:val="right"/>
              <w:rPr>
                <w:b/>
                <w:bCs/>
                <w:lang w:val="fr-FR"/>
              </w:rPr>
            </w:pPr>
          </w:p>
        </w:tc>
        <w:tc>
          <w:tcPr>
            <w:tcW w:w="1100" w:type="dxa"/>
            <w:shd w:val="clear" w:color="auto" w:fill="auto"/>
          </w:tcPr>
          <w:p w14:paraId="1A25AFD3" w14:textId="76539017" w:rsidR="002421E2" w:rsidRDefault="002421E2" w:rsidP="583BB7D7">
            <w:pPr>
              <w:jc w:val="right"/>
              <w:rPr>
                <w:b/>
                <w:bCs/>
                <w:lang w:val="fr-FR"/>
              </w:rPr>
            </w:pPr>
          </w:p>
          <w:p w14:paraId="299E6A9F" w14:textId="72D62168" w:rsidR="002421E2" w:rsidRDefault="0A488390" w:rsidP="583BB7D7">
            <w:pPr>
              <w:jc w:val="right"/>
              <w:rPr>
                <w:b/>
                <w:bCs/>
                <w:lang w:val="fr-FR"/>
              </w:rPr>
            </w:pPr>
            <w:r w:rsidRPr="583BB7D7">
              <w:rPr>
                <w:b/>
                <w:bCs/>
                <w:lang w:val="fr-FR"/>
              </w:rPr>
              <w:t>519,74</w:t>
            </w:r>
          </w:p>
          <w:p w14:paraId="3C0D28F0" w14:textId="6E8E312F" w:rsidR="002421E2" w:rsidRDefault="00BB575C" w:rsidP="00ED4E67">
            <w:pPr>
              <w:jc w:val="right"/>
              <w:rPr>
                <w:b/>
                <w:bCs/>
                <w:lang w:val="fr-FR"/>
              </w:rPr>
            </w:pPr>
            <w:r w:rsidRPr="583BB7D7">
              <w:rPr>
                <w:b/>
                <w:bCs/>
                <w:lang w:val="fr-FR"/>
              </w:rPr>
              <w:t xml:space="preserve">   </w:t>
            </w:r>
          </w:p>
          <w:p w14:paraId="5FE850EF" w14:textId="77777777" w:rsidR="00BB575C" w:rsidRDefault="00BB575C" w:rsidP="002B1478">
            <w:pPr>
              <w:rPr>
                <w:b/>
                <w:bCs/>
                <w:lang w:val="fr-FR"/>
              </w:rPr>
            </w:pPr>
          </w:p>
        </w:tc>
        <w:tc>
          <w:tcPr>
            <w:tcW w:w="1195" w:type="dxa"/>
            <w:tcBorders>
              <w:right w:val="single" w:sz="12" w:space="0" w:color="000000" w:themeColor="text1"/>
            </w:tcBorders>
            <w:shd w:val="clear" w:color="auto" w:fill="auto"/>
          </w:tcPr>
          <w:p w14:paraId="6E75C12E" w14:textId="77777777" w:rsidR="002421E2" w:rsidRDefault="002421E2" w:rsidP="00357D26">
            <w:pPr>
              <w:snapToGrid w:val="0"/>
              <w:rPr>
                <w:b/>
                <w:bCs/>
                <w:lang w:val="fr-FR"/>
              </w:rPr>
            </w:pPr>
          </w:p>
        </w:tc>
      </w:tr>
      <w:tr w:rsidR="002421E2" w14:paraId="69FC87CD" w14:textId="77777777" w:rsidTr="583BB7D7">
        <w:tc>
          <w:tcPr>
            <w:tcW w:w="5778" w:type="dxa"/>
            <w:tcBorders>
              <w:left w:val="single" w:sz="12" w:space="0" w:color="000000" w:themeColor="text1"/>
            </w:tcBorders>
            <w:shd w:val="clear" w:color="auto" w:fill="auto"/>
          </w:tcPr>
          <w:p w14:paraId="0BD79AEB" w14:textId="77777777" w:rsidR="002421E2" w:rsidRDefault="002421E2" w:rsidP="00357D26">
            <w:pPr>
              <w:rPr>
                <w:b/>
                <w:bCs/>
                <w:lang w:val="fr-FR"/>
              </w:rPr>
            </w:pPr>
            <w:r>
              <w:rPr>
                <w:b/>
                <w:lang w:val="fr-FR"/>
              </w:rPr>
              <w:t xml:space="preserve">2 </w:t>
            </w:r>
            <w:r>
              <w:rPr>
                <w:lang w:val="fr-FR"/>
              </w:rPr>
              <w:t xml:space="preserve">du </w:t>
            </w:r>
            <w:r>
              <w:rPr>
                <w:b/>
                <w:i/>
                <w:lang w:val="fr-FR"/>
              </w:rPr>
              <w:t>non-résident</w:t>
            </w:r>
          </w:p>
        </w:tc>
        <w:tc>
          <w:tcPr>
            <w:tcW w:w="1168" w:type="dxa"/>
            <w:shd w:val="clear" w:color="auto" w:fill="auto"/>
          </w:tcPr>
          <w:p w14:paraId="695ED26E" w14:textId="77777777" w:rsidR="002421E2" w:rsidRDefault="002421E2" w:rsidP="00357D26">
            <w:pPr>
              <w:snapToGrid w:val="0"/>
              <w:jc w:val="right"/>
              <w:rPr>
                <w:b/>
                <w:bCs/>
                <w:lang w:val="fr-FR"/>
              </w:rPr>
            </w:pPr>
          </w:p>
        </w:tc>
        <w:tc>
          <w:tcPr>
            <w:tcW w:w="1100" w:type="dxa"/>
            <w:shd w:val="clear" w:color="auto" w:fill="auto"/>
          </w:tcPr>
          <w:p w14:paraId="75BBB47A"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3D07A973" w14:textId="77777777" w:rsidR="002421E2" w:rsidRDefault="002421E2" w:rsidP="00357D26">
            <w:pPr>
              <w:snapToGrid w:val="0"/>
              <w:rPr>
                <w:b/>
                <w:bCs/>
                <w:lang w:val="fr-FR"/>
              </w:rPr>
            </w:pPr>
          </w:p>
        </w:tc>
      </w:tr>
      <w:tr w:rsidR="002421E2" w:rsidRPr="000A1906" w14:paraId="63757CDC" w14:textId="77777777" w:rsidTr="583BB7D7">
        <w:tc>
          <w:tcPr>
            <w:tcW w:w="5778" w:type="dxa"/>
            <w:tcBorders>
              <w:left w:val="single" w:sz="12" w:space="0" w:color="000000" w:themeColor="text1"/>
            </w:tcBorders>
            <w:shd w:val="clear" w:color="auto" w:fill="auto"/>
          </w:tcPr>
          <w:p w14:paraId="17F2BA50" w14:textId="77777777" w:rsidR="002421E2" w:rsidRDefault="002421E2" w:rsidP="000A1906">
            <w:pPr>
              <w:rPr>
                <w:b/>
                <w:bCs/>
                <w:lang w:val="fr-FR"/>
              </w:rPr>
            </w:pPr>
            <w:r>
              <w:rPr>
                <w:lang w:val="fr-FR"/>
              </w:rPr>
              <w:lastRenderedPageBreak/>
              <w:t xml:space="preserve">On utilisera la colonne 3 du barème III pour un montant de </w:t>
            </w:r>
            <w:r w:rsidR="000A1906">
              <w:rPr>
                <w:lang w:val="fr-FR"/>
              </w:rPr>
              <w:t>3.060,00</w:t>
            </w:r>
            <w:r>
              <w:rPr>
                <w:lang w:val="fr-FR"/>
              </w:rPr>
              <w:t xml:space="preserve"> €</w:t>
            </w:r>
            <w:r>
              <w:rPr>
                <w:lang w:val="fr-FR"/>
              </w:rPr>
              <w:tab/>
            </w:r>
          </w:p>
        </w:tc>
        <w:tc>
          <w:tcPr>
            <w:tcW w:w="1168" w:type="dxa"/>
            <w:shd w:val="clear" w:color="auto" w:fill="auto"/>
          </w:tcPr>
          <w:p w14:paraId="6498345F" w14:textId="36962A23" w:rsidR="006E3169" w:rsidRDefault="6E064E42" w:rsidP="004C0AE0">
            <w:pPr>
              <w:jc w:val="center"/>
              <w:rPr>
                <w:b/>
                <w:bCs/>
                <w:lang w:val="fr-FR"/>
              </w:rPr>
            </w:pPr>
            <w:r w:rsidRPr="583BB7D7">
              <w:rPr>
                <w:b/>
                <w:bCs/>
                <w:lang w:val="fr-FR"/>
              </w:rPr>
              <w:t>1.165,83</w:t>
            </w:r>
            <w:r w:rsidR="00497BE8" w:rsidRPr="583BB7D7">
              <w:rPr>
                <w:b/>
                <w:bCs/>
                <w:lang w:val="fr-FR"/>
              </w:rPr>
              <w:t>,</w:t>
            </w:r>
          </w:p>
        </w:tc>
        <w:tc>
          <w:tcPr>
            <w:tcW w:w="1100" w:type="dxa"/>
            <w:shd w:val="clear" w:color="auto" w:fill="auto"/>
          </w:tcPr>
          <w:p w14:paraId="3E1E0CA2"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21D780D0" w14:textId="77777777" w:rsidR="002421E2" w:rsidRDefault="002421E2" w:rsidP="00357D26">
            <w:pPr>
              <w:snapToGrid w:val="0"/>
              <w:rPr>
                <w:b/>
                <w:bCs/>
                <w:lang w:val="fr-FR"/>
              </w:rPr>
            </w:pPr>
          </w:p>
        </w:tc>
      </w:tr>
      <w:tr w:rsidR="002421E2" w:rsidRPr="000A1906" w14:paraId="54984E06" w14:textId="77777777" w:rsidTr="583BB7D7">
        <w:tc>
          <w:tcPr>
            <w:tcW w:w="5778" w:type="dxa"/>
            <w:tcBorders>
              <w:left w:val="single" w:sz="12" w:space="0" w:color="000000" w:themeColor="text1"/>
            </w:tcBorders>
            <w:shd w:val="clear" w:color="auto" w:fill="auto"/>
          </w:tcPr>
          <w:p w14:paraId="2D43E0D6" w14:textId="77777777" w:rsidR="002421E2" w:rsidRDefault="002421E2" w:rsidP="00357D26">
            <w:pPr>
              <w:rPr>
                <w:rFonts w:eastAsia="Arial"/>
                <w:b/>
                <w:bCs/>
                <w:u w:val="single"/>
                <w:lang w:val="fr-FR"/>
              </w:rPr>
            </w:pPr>
            <w:r>
              <w:rPr>
                <w:lang w:val="fr-FR"/>
              </w:rPr>
              <w:t>Réduction pour enfants à charge</w:t>
            </w:r>
          </w:p>
        </w:tc>
        <w:tc>
          <w:tcPr>
            <w:tcW w:w="1168" w:type="dxa"/>
            <w:shd w:val="clear" w:color="auto" w:fill="auto"/>
          </w:tcPr>
          <w:p w14:paraId="20152E36" w14:textId="5875916B" w:rsidR="002421E2" w:rsidRDefault="002421E2" w:rsidP="00357D26">
            <w:pPr>
              <w:rPr>
                <w:b/>
                <w:bCs/>
                <w:lang w:val="fr-FR"/>
              </w:rPr>
            </w:pPr>
            <w:r>
              <w:rPr>
                <w:rFonts w:eastAsia="Arial"/>
                <w:b/>
                <w:bCs/>
                <w:u w:val="single"/>
                <w:lang w:val="fr-FR"/>
              </w:rPr>
              <w:t xml:space="preserve">           </w:t>
            </w:r>
            <w:r>
              <w:rPr>
                <w:b/>
                <w:bCs/>
                <w:u w:val="single"/>
                <w:lang w:val="fr-FR"/>
              </w:rPr>
              <w:t xml:space="preserve">0,00 </w:t>
            </w:r>
          </w:p>
        </w:tc>
        <w:tc>
          <w:tcPr>
            <w:tcW w:w="1100" w:type="dxa"/>
            <w:shd w:val="clear" w:color="auto" w:fill="auto"/>
          </w:tcPr>
          <w:p w14:paraId="679A977F"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30B2C0B9" w14:textId="77777777" w:rsidR="002421E2" w:rsidRDefault="002421E2" w:rsidP="00357D26">
            <w:pPr>
              <w:snapToGrid w:val="0"/>
              <w:rPr>
                <w:b/>
                <w:bCs/>
                <w:lang w:val="fr-FR"/>
              </w:rPr>
            </w:pPr>
          </w:p>
        </w:tc>
      </w:tr>
      <w:tr w:rsidR="002421E2" w:rsidRPr="000A1906" w14:paraId="26371E48" w14:textId="77777777" w:rsidTr="583BB7D7">
        <w:tc>
          <w:tcPr>
            <w:tcW w:w="5778" w:type="dxa"/>
            <w:tcBorders>
              <w:left w:val="single" w:sz="12" w:space="0" w:color="000000" w:themeColor="text1"/>
            </w:tcBorders>
            <w:shd w:val="clear" w:color="auto" w:fill="auto"/>
          </w:tcPr>
          <w:p w14:paraId="71F62DB1" w14:textId="77777777" w:rsidR="002421E2" w:rsidRDefault="002421E2" w:rsidP="00357D26">
            <w:pPr>
              <w:rPr>
                <w:b/>
                <w:bCs/>
                <w:lang w:val="fr-FR"/>
              </w:rPr>
            </w:pPr>
            <w:r>
              <w:rPr>
                <w:lang w:val="fr-FR"/>
              </w:rPr>
              <w:t>Précompte à retenir</w:t>
            </w:r>
          </w:p>
        </w:tc>
        <w:tc>
          <w:tcPr>
            <w:tcW w:w="1168" w:type="dxa"/>
            <w:shd w:val="clear" w:color="auto" w:fill="auto"/>
          </w:tcPr>
          <w:p w14:paraId="23F33D67" w14:textId="39DB5130" w:rsidR="000A1906" w:rsidRDefault="000A1906" w:rsidP="002B1478">
            <w:pPr>
              <w:rPr>
                <w:b/>
                <w:bCs/>
                <w:lang w:val="fr-FR"/>
              </w:rPr>
            </w:pPr>
            <w:r w:rsidRPr="583BB7D7">
              <w:rPr>
                <w:b/>
                <w:bCs/>
                <w:lang w:val="fr-FR"/>
              </w:rPr>
              <w:t>-</w:t>
            </w:r>
            <w:r w:rsidR="6238178E" w:rsidRPr="583BB7D7">
              <w:rPr>
                <w:b/>
                <w:bCs/>
                <w:lang w:val="fr-FR"/>
              </w:rPr>
              <w:t>1.165,83</w:t>
            </w:r>
          </w:p>
        </w:tc>
        <w:tc>
          <w:tcPr>
            <w:tcW w:w="1100" w:type="dxa"/>
            <w:shd w:val="clear" w:color="auto" w:fill="auto"/>
          </w:tcPr>
          <w:p w14:paraId="45875183" w14:textId="77777777" w:rsidR="002421E2" w:rsidRDefault="002421E2" w:rsidP="00357D26">
            <w:pPr>
              <w:snapToGrid w:val="0"/>
              <w:jc w:val="right"/>
              <w:rPr>
                <w:b/>
                <w:bCs/>
                <w:lang w:val="fr-FR"/>
              </w:rPr>
            </w:pPr>
          </w:p>
        </w:tc>
        <w:tc>
          <w:tcPr>
            <w:tcW w:w="1195" w:type="dxa"/>
            <w:tcBorders>
              <w:right w:val="single" w:sz="12" w:space="0" w:color="000000" w:themeColor="text1"/>
            </w:tcBorders>
            <w:shd w:val="clear" w:color="auto" w:fill="auto"/>
          </w:tcPr>
          <w:p w14:paraId="734EF829" w14:textId="77777777" w:rsidR="002421E2" w:rsidRDefault="002421E2" w:rsidP="000A1906">
            <w:pPr>
              <w:rPr>
                <w:b/>
                <w:bCs/>
                <w:lang w:val="fr-FR"/>
              </w:rPr>
            </w:pPr>
          </w:p>
          <w:p w14:paraId="37933A7A" w14:textId="04FBC708" w:rsidR="000A1906" w:rsidRPr="002B1478" w:rsidRDefault="000A1906" w:rsidP="000A1906">
            <w:pPr>
              <w:rPr>
                <w:lang w:val="fr-BE"/>
              </w:rPr>
            </w:pPr>
            <w:r w:rsidRPr="583BB7D7">
              <w:rPr>
                <w:b/>
                <w:bCs/>
                <w:lang w:val="fr-FR"/>
              </w:rPr>
              <w:t>-</w:t>
            </w:r>
            <w:r w:rsidR="599ED2D0" w:rsidRPr="583BB7D7">
              <w:rPr>
                <w:b/>
                <w:bCs/>
                <w:lang w:val="fr-FR"/>
              </w:rPr>
              <w:t>1.165,83</w:t>
            </w:r>
          </w:p>
        </w:tc>
      </w:tr>
      <w:tr w:rsidR="002421E2" w14:paraId="369CE107" w14:textId="77777777" w:rsidTr="583BB7D7">
        <w:tc>
          <w:tcPr>
            <w:tcW w:w="5778" w:type="dxa"/>
            <w:tcBorders>
              <w:left w:val="single" w:sz="12" w:space="0" w:color="000000" w:themeColor="text1"/>
              <w:bottom w:val="single" w:sz="12" w:space="0" w:color="000000" w:themeColor="text1"/>
            </w:tcBorders>
            <w:shd w:val="clear" w:color="auto" w:fill="auto"/>
          </w:tcPr>
          <w:p w14:paraId="6C0284E7" w14:textId="30091DE0" w:rsidR="002421E2" w:rsidRDefault="002421E2" w:rsidP="00357D26">
            <w:pPr>
              <w:rPr>
                <w:lang w:val="fr-FR"/>
              </w:rPr>
            </w:pPr>
            <w:r w:rsidRPr="583BB7D7">
              <w:rPr>
                <w:lang w:val="fr-FR"/>
              </w:rPr>
              <w:t>Ré</w:t>
            </w:r>
            <w:r w:rsidR="4C314A91" w:rsidRPr="583BB7D7">
              <w:rPr>
                <w:lang w:val="fr-FR"/>
              </w:rPr>
              <w:t>m</w:t>
            </w:r>
            <w:r w:rsidRPr="583BB7D7">
              <w:rPr>
                <w:lang w:val="fr-FR"/>
              </w:rPr>
              <w:t>unération nette à payer</w:t>
            </w:r>
          </w:p>
          <w:p w14:paraId="2B918055" w14:textId="04DEA23C" w:rsidR="00C326DB" w:rsidRDefault="00C326DB" w:rsidP="00357D26">
            <w:pPr>
              <w:rPr>
                <w:b/>
                <w:bCs/>
                <w:lang w:val="fr-FR"/>
              </w:rPr>
            </w:pPr>
          </w:p>
        </w:tc>
        <w:tc>
          <w:tcPr>
            <w:tcW w:w="1168" w:type="dxa"/>
            <w:tcBorders>
              <w:bottom w:val="single" w:sz="12" w:space="0" w:color="000000" w:themeColor="text1"/>
            </w:tcBorders>
            <w:shd w:val="clear" w:color="auto" w:fill="auto"/>
          </w:tcPr>
          <w:p w14:paraId="07F4FDFF" w14:textId="4A0F3581" w:rsidR="002421E2" w:rsidRDefault="79EEE842" w:rsidP="00C326DB">
            <w:pPr>
              <w:snapToGrid w:val="0"/>
              <w:rPr>
                <w:b/>
                <w:bCs/>
                <w:lang w:val="fr-FR"/>
              </w:rPr>
            </w:pPr>
            <w:r w:rsidRPr="583BB7D7">
              <w:rPr>
                <w:b/>
                <w:bCs/>
                <w:lang w:val="fr-FR"/>
              </w:rPr>
              <w:t xml:space="preserve">   </w:t>
            </w:r>
          </w:p>
        </w:tc>
        <w:tc>
          <w:tcPr>
            <w:tcW w:w="1100" w:type="dxa"/>
            <w:tcBorders>
              <w:bottom w:val="single" w:sz="12" w:space="0" w:color="000000" w:themeColor="text1"/>
            </w:tcBorders>
            <w:shd w:val="clear" w:color="auto" w:fill="auto"/>
          </w:tcPr>
          <w:p w14:paraId="6B8CBB6C" w14:textId="0F800C88" w:rsidR="000A1906" w:rsidRDefault="0B84B1B1" w:rsidP="00C326DB">
            <w:pPr>
              <w:rPr>
                <w:b/>
                <w:bCs/>
                <w:lang w:val="fr-FR"/>
              </w:rPr>
            </w:pPr>
            <w:r w:rsidRPr="583BB7D7">
              <w:rPr>
                <w:b/>
                <w:bCs/>
                <w:lang w:val="fr-FR"/>
              </w:rPr>
              <w:t>3.480,</w:t>
            </w:r>
            <w:r w:rsidR="7A4D0B16" w:rsidRPr="583BB7D7">
              <w:rPr>
                <w:b/>
                <w:bCs/>
                <w:lang w:val="fr-FR"/>
              </w:rPr>
              <w:t>2</w:t>
            </w:r>
            <w:r w:rsidRPr="583BB7D7">
              <w:rPr>
                <w:b/>
                <w:bCs/>
                <w:lang w:val="fr-FR"/>
              </w:rPr>
              <w:t>6</w:t>
            </w:r>
          </w:p>
        </w:tc>
        <w:tc>
          <w:tcPr>
            <w:tcW w:w="1195" w:type="dxa"/>
            <w:tcBorders>
              <w:bottom w:val="single" w:sz="12" w:space="0" w:color="000000" w:themeColor="text1"/>
              <w:right w:val="single" w:sz="12" w:space="0" w:color="000000" w:themeColor="text1"/>
            </w:tcBorders>
            <w:shd w:val="clear" w:color="auto" w:fill="auto"/>
          </w:tcPr>
          <w:p w14:paraId="0D349DF8" w14:textId="0B4D07A2" w:rsidR="00F431B2" w:rsidRDefault="677C9867" w:rsidP="00350406">
            <w:r w:rsidRPr="583BB7D7">
              <w:rPr>
                <w:b/>
                <w:bCs/>
                <w:lang w:val="fr-FR"/>
              </w:rPr>
              <w:t xml:space="preserve">2.834,17 </w:t>
            </w:r>
          </w:p>
        </w:tc>
      </w:tr>
    </w:tbl>
    <w:p w14:paraId="3B718A48" w14:textId="77777777" w:rsidR="002421E2" w:rsidRDefault="002421E2" w:rsidP="002421E2">
      <w:pPr>
        <w:rPr>
          <w:lang w:val="fr-FR"/>
        </w:rPr>
      </w:pPr>
      <w:r>
        <w:rPr>
          <w:sz w:val="16"/>
          <w:szCs w:val="16"/>
          <w:lang w:val="fr-FR"/>
        </w:rPr>
        <w:t>1</w:t>
      </w:r>
    </w:p>
    <w:p w14:paraId="0DD2C39A" w14:textId="77777777" w:rsidR="002421E2" w:rsidRDefault="002421E2" w:rsidP="002421E2">
      <w:pPr>
        <w:pStyle w:val="HIFTitre3"/>
        <w:rPr>
          <w:sz w:val="16"/>
          <w:szCs w:val="16"/>
          <w:lang w:val="fr-FR"/>
        </w:rPr>
      </w:pPr>
      <w:r>
        <w:rPr>
          <w:lang w:val="fr-FR"/>
        </w:rPr>
        <w:t>Calcul du précompte sur la rémunération non périodique</w:t>
      </w:r>
    </w:p>
    <w:p w14:paraId="69A69D72" w14:textId="77777777" w:rsidR="002421E2" w:rsidRDefault="002421E2" w:rsidP="002421E2">
      <w:pPr>
        <w:rPr>
          <w:b/>
          <w:sz w:val="16"/>
          <w:szCs w:val="16"/>
          <w:lang w:val="fr-FR"/>
        </w:rPr>
      </w:pPr>
    </w:p>
    <w:p w14:paraId="37F30897" w14:textId="77777777" w:rsidR="002421E2" w:rsidRDefault="002421E2" w:rsidP="002421E2">
      <w:pPr>
        <w:rPr>
          <w:b/>
          <w:lang w:val="fr-FR"/>
        </w:rPr>
      </w:pPr>
      <w:r>
        <w:rPr>
          <w:b/>
          <w:lang w:val="fr-FR"/>
        </w:rPr>
        <w:t>La rémunération mensuelle augmentée du 12ème de la rémunération non périodique</w:t>
      </w:r>
    </w:p>
    <w:p w14:paraId="019D4B19" w14:textId="15A7D987" w:rsidR="002421E2" w:rsidRDefault="002421E2" w:rsidP="583BB7D7">
      <w:pPr>
        <w:numPr>
          <w:ilvl w:val="0"/>
          <w:numId w:val="4"/>
        </w:numPr>
        <w:suppressAutoHyphens/>
        <w:spacing w:after="240" w:line="240" w:lineRule="auto"/>
        <w:rPr>
          <w:b/>
          <w:bCs/>
          <w:i/>
          <w:iCs/>
          <w:lang w:val="fr-FR"/>
        </w:rPr>
      </w:pPr>
      <w:r w:rsidRPr="583BB7D7">
        <w:rPr>
          <w:b/>
          <w:bCs/>
          <w:lang w:val="fr-FR"/>
        </w:rPr>
        <w:t>Calcul de la base imposable</w:t>
      </w:r>
    </w:p>
    <w:tbl>
      <w:tblPr>
        <w:tblW w:w="0" w:type="auto"/>
        <w:tblInd w:w="-15" w:type="dxa"/>
        <w:tblLayout w:type="fixed"/>
        <w:tblLook w:val="0000" w:firstRow="0" w:lastRow="0" w:firstColumn="0" w:lastColumn="0" w:noHBand="0" w:noVBand="0"/>
      </w:tblPr>
      <w:tblGrid>
        <w:gridCol w:w="6771"/>
        <w:gridCol w:w="2470"/>
      </w:tblGrid>
      <w:tr w:rsidR="002421E2" w14:paraId="752A94B4" w14:textId="77777777" w:rsidTr="583BB7D7">
        <w:tc>
          <w:tcPr>
            <w:tcW w:w="6771" w:type="dxa"/>
            <w:tcBorders>
              <w:top w:val="single" w:sz="12" w:space="0" w:color="808080" w:themeColor="background1" w:themeShade="80"/>
              <w:left w:val="single" w:sz="12" w:space="0" w:color="808080" w:themeColor="background1" w:themeShade="80"/>
              <w:bottom w:val="single" w:sz="6" w:space="0" w:color="808080" w:themeColor="background1" w:themeShade="80"/>
            </w:tcBorders>
            <w:shd w:val="clear" w:color="auto" w:fill="auto"/>
          </w:tcPr>
          <w:p w14:paraId="0A56A114" w14:textId="77777777" w:rsidR="002421E2" w:rsidRDefault="002421E2" w:rsidP="00357D26">
            <w:pPr>
              <w:rPr>
                <w:b/>
                <w:bCs/>
                <w:i/>
                <w:iCs/>
                <w:lang w:val="fr-FR"/>
              </w:rPr>
            </w:pPr>
            <w:r>
              <w:rPr>
                <w:b/>
                <w:bCs/>
                <w:i/>
                <w:iCs/>
                <w:lang w:val="fr-FR"/>
              </w:rPr>
              <w:t xml:space="preserve">Calcul de la rémunération mensuelle brute y compris le 12ème de la </w:t>
            </w:r>
            <w:r>
              <w:rPr>
                <w:b/>
                <w:bCs/>
                <w:i/>
                <w:iCs/>
                <w:lang w:val="fr-FR"/>
              </w:rPr>
              <w:br/>
              <w:t>rémunération non périodique</w:t>
            </w:r>
            <w:r>
              <w:rPr>
                <w:b/>
                <w:bCs/>
                <w:i/>
                <w:iCs/>
                <w:lang w:val="fr-FR"/>
              </w:rPr>
              <w:br/>
              <w:t>= Fixe (4.000) + rémunération non périodique / 12 (20.000/12) =</w:t>
            </w:r>
          </w:p>
        </w:tc>
        <w:tc>
          <w:tcPr>
            <w:tcW w:w="2470" w:type="dxa"/>
            <w:tcBorders>
              <w:top w:val="single" w:sz="12" w:space="0" w:color="808080" w:themeColor="background1" w:themeShade="80"/>
              <w:left w:val="single" w:sz="6" w:space="0" w:color="C0C0C0"/>
              <w:bottom w:val="single" w:sz="6" w:space="0" w:color="808080" w:themeColor="background1" w:themeShade="80"/>
              <w:right w:val="single" w:sz="12" w:space="0" w:color="808080" w:themeColor="background1" w:themeShade="80"/>
            </w:tcBorders>
            <w:shd w:val="clear" w:color="auto" w:fill="auto"/>
          </w:tcPr>
          <w:p w14:paraId="386E2913" w14:textId="77777777" w:rsidR="002421E2" w:rsidRDefault="002421E2" w:rsidP="00357D26">
            <w:pPr>
              <w:jc w:val="right"/>
            </w:pPr>
            <w:r>
              <w:rPr>
                <w:b/>
                <w:bCs/>
                <w:i/>
                <w:iCs/>
                <w:lang w:val="fr-FR"/>
              </w:rPr>
              <w:t xml:space="preserve">5.666,67 </w:t>
            </w:r>
          </w:p>
        </w:tc>
      </w:tr>
      <w:tr w:rsidR="002421E2" w:rsidRPr="000A1906" w14:paraId="51B9271E" w14:textId="77777777" w:rsidTr="583BB7D7">
        <w:tc>
          <w:tcPr>
            <w:tcW w:w="6771" w:type="dxa"/>
            <w:tcBorders>
              <w:left w:val="single" w:sz="12" w:space="0" w:color="808080" w:themeColor="background1" w:themeShade="80"/>
            </w:tcBorders>
            <w:shd w:val="clear" w:color="auto" w:fill="auto"/>
          </w:tcPr>
          <w:p w14:paraId="7D97BAF8" w14:textId="46DD9212" w:rsidR="002421E2" w:rsidRDefault="002421E2" w:rsidP="000A1906">
            <w:pPr>
              <w:rPr>
                <w:u w:val="single"/>
                <w:lang w:val="fr-FR"/>
              </w:rPr>
            </w:pPr>
            <w:r>
              <w:rPr>
                <w:b/>
                <w:bCs/>
                <w:lang w:val="fr-FR"/>
              </w:rPr>
              <w:t>Réduction du brut attribué aux assujettis au statut social des indépendants</w:t>
            </w:r>
            <w:r>
              <w:rPr>
                <w:b/>
                <w:bCs/>
                <w:lang w:val="fr-FR"/>
              </w:rPr>
              <w:tab/>
            </w:r>
            <w:r>
              <w:rPr>
                <w:b/>
                <w:bCs/>
                <w:lang w:val="fr-FR"/>
              </w:rPr>
              <w:br/>
              <w:t>(Annexe III pt 1 C) (</w:t>
            </w:r>
            <w:r w:rsidR="44CA5FD5">
              <w:rPr>
                <w:b/>
                <w:bCs/>
                <w:lang w:val="fr-FR"/>
              </w:rPr>
              <w:t>1.179,25</w:t>
            </w:r>
            <w:r w:rsidR="00F84533">
              <w:rPr>
                <w:b/>
                <w:bCs/>
                <w:lang w:val="fr-FR"/>
              </w:rPr>
              <w:t xml:space="preserve"> </w:t>
            </w:r>
            <w:r>
              <w:rPr>
                <w:b/>
                <w:bCs/>
                <w:lang w:val="fr-FR"/>
              </w:rPr>
              <w:t>+ (5.666,67</w:t>
            </w:r>
            <w:r w:rsidR="4EEC0F72">
              <w:rPr>
                <w:b/>
                <w:bCs/>
                <w:lang w:val="fr-FR"/>
              </w:rPr>
              <w:t xml:space="preserve"> 5.140,00</w:t>
            </w:r>
            <w:r>
              <w:rPr>
                <w:b/>
                <w:bCs/>
                <w:lang w:val="fr-FR"/>
              </w:rPr>
              <w:t>) x 14.50 % =</w:t>
            </w:r>
          </w:p>
        </w:tc>
        <w:tc>
          <w:tcPr>
            <w:tcW w:w="2470" w:type="dxa"/>
            <w:tcBorders>
              <w:left w:val="single" w:sz="6" w:space="0" w:color="C0C0C0"/>
              <w:right w:val="single" w:sz="12" w:space="0" w:color="808080" w:themeColor="background1" w:themeShade="80"/>
            </w:tcBorders>
            <w:shd w:val="clear" w:color="auto" w:fill="auto"/>
          </w:tcPr>
          <w:p w14:paraId="40ECA66B" w14:textId="65D7B292" w:rsidR="002421E2" w:rsidRPr="002B1478" w:rsidRDefault="002421E2" w:rsidP="583BB7D7">
            <w:pPr>
              <w:jc w:val="right"/>
              <w:rPr>
                <w:u w:val="single"/>
                <w:lang w:val="fr-FR"/>
              </w:rPr>
            </w:pPr>
            <w:r w:rsidRPr="583BB7D7">
              <w:rPr>
                <w:u w:val="single"/>
                <w:lang w:val="fr-FR"/>
              </w:rPr>
              <w:t>-</w:t>
            </w:r>
            <w:r w:rsidR="00FF8829" w:rsidRPr="583BB7D7">
              <w:rPr>
                <w:u w:val="single"/>
                <w:lang w:val="fr-FR"/>
              </w:rPr>
              <w:t>1255,62</w:t>
            </w:r>
          </w:p>
        </w:tc>
      </w:tr>
      <w:tr w:rsidR="002421E2" w:rsidRPr="00F84533" w14:paraId="24B34534" w14:textId="77777777" w:rsidTr="583BB7D7">
        <w:tc>
          <w:tcPr>
            <w:tcW w:w="6771" w:type="dxa"/>
            <w:tcBorders>
              <w:left w:val="single" w:sz="12" w:space="0" w:color="808080" w:themeColor="background1" w:themeShade="80"/>
            </w:tcBorders>
            <w:shd w:val="clear" w:color="auto" w:fill="auto"/>
          </w:tcPr>
          <w:p w14:paraId="471E9858" w14:textId="77777777" w:rsidR="002421E2" w:rsidRDefault="002421E2" w:rsidP="00357D26">
            <w:pPr>
              <w:rPr>
                <w:lang w:val="fr-FR"/>
              </w:rPr>
            </w:pPr>
            <w:r>
              <w:rPr>
                <w:b/>
                <w:bCs/>
                <w:lang w:val="fr-FR"/>
              </w:rPr>
              <w:t>Base imposable</w:t>
            </w:r>
          </w:p>
        </w:tc>
        <w:tc>
          <w:tcPr>
            <w:tcW w:w="2470" w:type="dxa"/>
            <w:tcBorders>
              <w:left w:val="single" w:sz="6" w:space="0" w:color="C0C0C0"/>
              <w:right w:val="single" w:sz="12" w:space="0" w:color="808080" w:themeColor="background1" w:themeShade="80"/>
            </w:tcBorders>
            <w:shd w:val="clear" w:color="auto" w:fill="auto"/>
          </w:tcPr>
          <w:p w14:paraId="1EDA5408" w14:textId="1EEA80AE" w:rsidR="002421E2" w:rsidRPr="002B1478" w:rsidRDefault="6B1CBFB4" w:rsidP="003D2D14">
            <w:pPr>
              <w:spacing w:after="0"/>
              <w:jc w:val="right"/>
              <w:rPr>
                <w:rFonts w:ascii="Calibri" w:eastAsia="Calibri" w:hAnsi="Calibri" w:cs="Calibri"/>
                <w:lang w:val="fr-FR"/>
              </w:rPr>
            </w:pPr>
            <w:r w:rsidRPr="583BB7D7">
              <w:rPr>
                <w:lang w:val="fr-FR"/>
              </w:rPr>
              <w:t>4.411,08</w:t>
            </w:r>
          </w:p>
          <w:p w14:paraId="7BC737C4" w14:textId="1C545357" w:rsidR="002421E2" w:rsidRPr="002B1478" w:rsidRDefault="002421E2" w:rsidP="583BB7D7">
            <w:pPr>
              <w:spacing w:after="0"/>
              <w:jc w:val="right"/>
              <w:rPr>
                <w:lang w:val="fr-FR"/>
              </w:rPr>
            </w:pPr>
          </w:p>
        </w:tc>
      </w:tr>
      <w:tr w:rsidR="002421E2" w:rsidRPr="00F84533" w14:paraId="6AAA963F" w14:textId="77777777" w:rsidTr="583BB7D7">
        <w:tc>
          <w:tcPr>
            <w:tcW w:w="6771" w:type="dxa"/>
            <w:tcBorders>
              <w:left w:val="single" w:sz="12" w:space="0" w:color="808080" w:themeColor="background1" w:themeShade="80"/>
              <w:bottom w:val="single" w:sz="12" w:space="0" w:color="808080" w:themeColor="background1" w:themeShade="80"/>
            </w:tcBorders>
            <w:shd w:val="clear" w:color="auto" w:fill="auto"/>
          </w:tcPr>
          <w:p w14:paraId="0C729E0E" w14:textId="77777777" w:rsidR="002421E2" w:rsidRDefault="002421E2" w:rsidP="00357D26">
            <w:pPr>
              <w:snapToGrid w:val="0"/>
              <w:rPr>
                <w:b/>
                <w:bCs/>
                <w:sz w:val="16"/>
                <w:szCs w:val="16"/>
                <w:lang w:val="fr-FR"/>
              </w:rPr>
            </w:pPr>
          </w:p>
        </w:tc>
        <w:tc>
          <w:tcPr>
            <w:tcW w:w="2470" w:type="dxa"/>
            <w:tcBorders>
              <w:left w:val="single" w:sz="6" w:space="0" w:color="C0C0C0"/>
              <w:bottom w:val="single" w:sz="12" w:space="0" w:color="808080" w:themeColor="background1" w:themeShade="80"/>
              <w:right w:val="single" w:sz="12" w:space="0" w:color="808080" w:themeColor="background1" w:themeShade="80"/>
            </w:tcBorders>
            <w:shd w:val="clear" w:color="auto" w:fill="auto"/>
          </w:tcPr>
          <w:p w14:paraId="24264179" w14:textId="77777777" w:rsidR="002421E2" w:rsidRDefault="002421E2" w:rsidP="00357D26">
            <w:pPr>
              <w:snapToGrid w:val="0"/>
              <w:jc w:val="right"/>
              <w:rPr>
                <w:sz w:val="16"/>
                <w:szCs w:val="16"/>
                <w:lang w:val="fr-FR"/>
              </w:rPr>
            </w:pPr>
          </w:p>
        </w:tc>
      </w:tr>
    </w:tbl>
    <w:p w14:paraId="2D52E02E" w14:textId="77777777" w:rsidR="002421E2" w:rsidRDefault="002421E2" w:rsidP="002421E2">
      <w:pPr>
        <w:rPr>
          <w:b/>
          <w:lang w:val="fr-FR"/>
        </w:rPr>
      </w:pPr>
    </w:p>
    <w:p w14:paraId="5F6F10C3" w14:textId="77777777" w:rsidR="002421E2" w:rsidRDefault="002421E2" w:rsidP="002421E2">
      <w:pPr>
        <w:numPr>
          <w:ilvl w:val="0"/>
          <w:numId w:val="4"/>
        </w:numPr>
        <w:suppressAutoHyphens/>
        <w:spacing w:after="240" w:line="240" w:lineRule="auto"/>
        <w:rPr>
          <w:b/>
          <w:lang w:val="fr-FR"/>
        </w:rPr>
      </w:pPr>
      <w:r>
        <w:rPr>
          <w:rFonts w:eastAsia="Arial"/>
          <w:b/>
          <w:lang w:val="fr-FR"/>
        </w:rPr>
        <w:t xml:space="preserve"> </w:t>
      </w:r>
      <w:r>
        <w:rPr>
          <w:b/>
          <w:lang w:val="fr-FR"/>
        </w:rPr>
        <w:t>Calcul du précompte professionnel</w:t>
      </w:r>
    </w:p>
    <w:tbl>
      <w:tblPr>
        <w:tblW w:w="0" w:type="auto"/>
        <w:tblInd w:w="-5" w:type="dxa"/>
        <w:tblLayout w:type="fixed"/>
        <w:tblLook w:val="0000" w:firstRow="0" w:lastRow="0" w:firstColumn="0" w:lastColumn="0" w:noHBand="0" w:noVBand="0"/>
      </w:tblPr>
      <w:tblGrid>
        <w:gridCol w:w="6770"/>
        <w:gridCol w:w="2451"/>
      </w:tblGrid>
      <w:tr w:rsidR="002421E2" w:rsidRPr="00D22DC1" w14:paraId="6E94570B" w14:textId="77777777" w:rsidTr="583BB7D7">
        <w:tc>
          <w:tcPr>
            <w:tcW w:w="6770" w:type="dxa"/>
            <w:tcBorders>
              <w:top w:val="single" w:sz="4" w:space="0" w:color="000000" w:themeColor="text1"/>
              <w:left w:val="single" w:sz="4" w:space="0" w:color="000000" w:themeColor="text1"/>
              <w:bottom w:val="single" w:sz="4" w:space="0" w:color="000000" w:themeColor="text1"/>
            </w:tcBorders>
            <w:shd w:val="clear" w:color="auto" w:fill="auto"/>
          </w:tcPr>
          <w:p w14:paraId="42E2F0B1" w14:textId="4581F554" w:rsidR="002421E2" w:rsidRDefault="002421E2" w:rsidP="00D22DC1">
            <w:pPr>
              <w:rPr>
                <w:lang w:val="fr-FR"/>
              </w:rPr>
            </w:pPr>
            <w:r>
              <w:rPr>
                <w:b/>
                <w:lang w:val="fr-FR"/>
              </w:rPr>
              <w:t xml:space="preserve">1 </w:t>
            </w:r>
            <w:r>
              <w:rPr>
                <w:lang w:val="fr-FR"/>
              </w:rPr>
              <w:t>du</w:t>
            </w:r>
            <w:r>
              <w:rPr>
                <w:i/>
                <w:lang w:val="fr-FR"/>
              </w:rPr>
              <w:t xml:space="preserve"> </w:t>
            </w:r>
            <w:r>
              <w:rPr>
                <w:b/>
                <w:lang w:val="fr-FR"/>
              </w:rPr>
              <w:t>résident</w:t>
            </w:r>
            <w:r>
              <w:rPr>
                <w:i/>
                <w:lang w:val="fr-FR"/>
              </w:rPr>
              <w:tab/>
            </w:r>
            <w:r>
              <w:rPr>
                <w:i/>
                <w:lang w:val="fr-FR"/>
              </w:rPr>
              <w:br/>
              <w:t xml:space="preserve">L'épouse n'a pas de revenu : on utilisera donc le </w:t>
            </w:r>
            <w:r>
              <w:rPr>
                <w:lang w:val="fr-FR"/>
              </w:rPr>
              <w:t>Barème II</w:t>
            </w:r>
            <w:r>
              <w:rPr>
                <w:lang w:val="fr-FR"/>
              </w:rPr>
              <w:br/>
              <w:t xml:space="preserve">Précompte professionnel sur un imposable de </w:t>
            </w:r>
            <w:r w:rsidR="00D22DC1">
              <w:rPr>
                <w:lang w:val="fr-FR"/>
              </w:rPr>
              <w:t>4</w:t>
            </w:r>
            <w:r w:rsidR="00F84533">
              <w:rPr>
                <w:lang w:val="fr-FR"/>
              </w:rPr>
              <w:t>.418,37</w:t>
            </w:r>
            <w:r>
              <w:rPr>
                <w:lang w:val="fr-FR"/>
              </w:rPr>
              <w:t xml:space="preserve"> euros dans la colonne 3</w:t>
            </w:r>
          </w:p>
        </w:tc>
        <w:tc>
          <w:tcPr>
            <w:tcW w:w="2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3886B4" w14:textId="25574D6F" w:rsidR="002421E2" w:rsidRPr="00A300AC" w:rsidRDefault="002421E2" w:rsidP="00D22DC1">
            <w:pPr>
              <w:jc w:val="right"/>
              <w:rPr>
                <w:lang w:val="fr-BE"/>
              </w:rPr>
            </w:pPr>
            <w:r w:rsidRPr="003D2D14">
              <w:rPr>
                <w:lang w:val="fr-FR"/>
              </w:rPr>
              <w:br/>
            </w:r>
            <w:r w:rsidRPr="003D2D14">
              <w:rPr>
                <w:lang w:val="fr-FR"/>
              </w:rPr>
              <w:br/>
            </w:r>
            <w:r w:rsidR="6D3AF4F1" w:rsidRPr="583BB7D7">
              <w:rPr>
                <w:lang w:val="fr-FR"/>
              </w:rPr>
              <w:t>1.248,</w:t>
            </w:r>
            <w:r w:rsidR="62F128E2" w:rsidRPr="583BB7D7">
              <w:rPr>
                <w:lang w:val="fr-FR"/>
              </w:rPr>
              <w:t>87</w:t>
            </w:r>
          </w:p>
        </w:tc>
      </w:tr>
      <w:tr w:rsidR="002421E2" w:rsidRPr="00D22DC1" w14:paraId="0AD95778" w14:textId="77777777" w:rsidTr="583BB7D7">
        <w:tc>
          <w:tcPr>
            <w:tcW w:w="6770" w:type="dxa"/>
            <w:tcBorders>
              <w:top w:val="single" w:sz="4" w:space="0" w:color="000000" w:themeColor="text1"/>
              <w:left w:val="single" w:sz="4" w:space="0" w:color="000000" w:themeColor="text1"/>
              <w:bottom w:val="single" w:sz="4" w:space="0" w:color="000000" w:themeColor="text1"/>
            </w:tcBorders>
            <w:shd w:val="clear" w:color="auto" w:fill="auto"/>
          </w:tcPr>
          <w:p w14:paraId="4BDC2EEA" w14:textId="77777777" w:rsidR="002421E2" w:rsidRDefault="002421E2" w:rsidP="00357D26">
            <w:pPr>
              <w:rPr>
                <w:rFonts w:eastAsia="Arial"/>
                <w:u w:val="single"/>
                <w:lang w:val="fr-FR"/>
              </w:rPr>
            </w:pPr>
            <w:r>
              <w:rPr>
                <w:lang w:val="fr-FR"/>
              </w:rPr>
              <w:t>Réduction pour enfant à charge</w:t>
            </w:r>
            <w:r>
              <w:rPr>
                <w:lang w:val="fr-FR"/>
              </w:rPr>
              <w:tab/>
            </w:r>
          </w:p>
        </w:tc>
        <w:tc>
          <w:tcPr>
            <w:tcW w:w="2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00B2D4" w14:textId="089C373A" w:rsidR="002421E2" w:rsidRPr="00A300AC" w:rsidRDefault="002421E2" w:rsidP="00D22DC1">
            <w:pPr>
              <w:ind w:left="1080"/>
              <w:rPr>
                <w:lang w:val="fr-BE"/>
              </w:rPr>
            </w:pPr>
            <w:r w:rsidRPr="583BB7D7">
              <w:rPr>
                <w:rFonts w:eastAsia="Arial"/>
                <w:u w:val="single"/>
                <w:lang w:val="fr-FR"/>
              </w:rPr>
              <w:t xml:space="preserve">       </w:t>
            </w:r>
            <w:r w:rsidRPr="583BB7D7">
              <w:rPr>
                <w:u w:val="single"/>
                <w:lang w:val="fr-FR"/>
              </w:rPr>
              <w:t xml:space="preserve">- </w:t>
            </w:r>
            <w:r w:rsidR="77BF94F2" w:rsidRPr="583BB7D7">
              <w:rPr>
                <w:u w:val="single"/>
                <w:lang w:val="fr-FR"/>
              </w:rPr>
              <w:t>106,00</w:t>
            </w:r>
            <w:r w:rsidR="7350607B" w:rsidRPr="583BB7D7">
              <w:rPr>
                <w:u w:val="single"/>
                <w:lang w:val="fr-FR"/>
              </w:rPr>
              <w:t xml:space="preserve"> </w:t>
            </w:r>
          </w:p>
        </w:tc>
      </w:tr>
      <w:tr w:rsidR="002421E2" w:rsidRPr="00D22DC1" w14:paraId="20F8D76B" w14:textId="77777777" w:rsidTr="583BB7D7">
        <w:tc>
          <w:tcPr>
            <w:tcW w:w="6770" w:type="dxa"/>
            <w:tcBorders>
              <w:top w:val="single" w:sz="4" w:space="0" w:color="000000" w:themeColor="text1"/>
              <w:left w:val="single" w:sz="4" w:space="0" w:color="000000" w:themeColor="text1"/>
              <w:bottom w:val="single" w:sz="4" w:space="0" w:color="000000" w:themeColor="text1"/>
            </w:tcBorders>
            <w:shd w:val="clear" w:color="auto" w:fill="auto"/>
          </w:tcPr>
          <w:p w14:paraId="4EFD5203" w14:textId="77777777" w:rsidR="002421E2" w:rsidRDefault="002421E2" w:rsidP="00357D26">
            <w:pPr>
              <w:rPr>
                <w:rFonts w:eastAsia="Arial"/>
                <w:lang w:val="fr-FR"/>
              </w:rPr>
            </w:pPr>
            <w:r>
              <w:rPr>
                <w:lang w:val="fr-FR"/>
              </w:rPr>
              <w:t>Précompte à retenir</w:t>
            </w:r>
            <w:r>
              <w:rPr>
                <w:lang w:val="fr-FR"/>
              </w:rPr>
              <w:tab/>
            </w:r>
          </w:p>
        </w:tc>
        <w:tc>
          <w:tcPr>
            <w:tcW w:w="2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401880" w14:textId="6BFF4F49" w:rsidR="002421E2" w:rsidRPr="00A300AC" w:rsidRDefault="002421E2" w:rsidP="00D22DC1">
            <w:pPr>
              <w:jc w:val="right"/>
              <w:rPr>
                <w:lang w:val="fr-BE"/>
              </w:rPr>
            </w:pPr>
            <w:r>
              <w:rPr>
                <w:rFonts w:eastAsia="Arial"/>
                <w:lang w:val="fr-FR"/>
              </w:rPr>
              <w:t xml:space="preserve">                      </w:t>
            </w:r>
            <w:r w:rsidR="002B1478">
              <w:rPr>
                <w:rFonts w:eastAsia="Arial"/>
                <w:lang w:val="fr-FR"/>
              </w:rPr>
              <w:t xml:space="preserve">   </w:t>
            </w:r>
            <w:r w:rsidR="16F1B2A9">
              <w:rPr>
                <w:rFonts w:eastAsia="Arial"/>
                <w:lang w:val="fr-FR"/>
              </w:rPr>
              <w:t>1.142,87</w:t>
            </w:r>
            <w:r>
              <w:rPr>
                <w:rFonts w:eastAsia="Arial"/>
                <w:lang w:val="fr-FR"/>
              </w:rPr>
              <w:t xml:space="preserve"> </w:t>
            </w:r>
            <w:r>
              <w:rPr>
                <w:b/>
                <w:lang w:val="fr-FR"/>
              </w:rPr>
              <w:tab/>
            </w:r>
          </w:p>
        </w:tc>
      </w:tr>
      <w:tr w:rsidR="002421E2" w14:paraId="64D273C0" w14:textId="77777777" w:rsidTr="583BB7D7">
        <w:tc>
          <w:tcPr>
            <w:tcW w:w="6770" w:type="dxa"/>
            <w:tcBorders>
              <w:top w:val="single" w:sz="4" w:space="0" w:color="000000" w:themeColor="text1"/>
              <w:left w:val="single" w:sz="4" w:space="0" w:color="000000" w:themeColor="text1"/>
              <w:bottom w:val="single" w:sz="4" w:space="0" w:color="000000" w:themeColor="text1"/>
            </w:tcBorders>
            <w:shd w:val="clear" w:color="auto" w:fill="auto"/>
          </w:tcPr>
          <w:p w14:paraId="056CF373" w14:textId="6C02E3ED" w:rsidR="002421E2" w:rsidRDefault="002421E2" w:rsidP="007147FF">
            <w:pPr>
              <w:rPr>
                <w:lang w:val="fr-FR"/>
              </w:rPr>
            </w:pPr>
            <w:r>
              <w:rPr>
                <w:b/>
                <w:lang w:val="fr-FR"/>
              </w:rPr>
              <w:t xml:space="preserve">2 </w:t>
            </w:r>
            <w:r>
              <w:rPr>
                <w:lang w:val="fr-FR"/>
              </w:rPr>
              <w:t xml:space="preserve">du </w:t>
            </w:r>
            <w:r>
              <w:rPr>
                <w:b/>
                <w:i/>
                <w:lang w:val="fr-FR"/>
              </w:rPr>
              <w:t>non résident</w:t>
            </w:r>
            <w:r>
              <w:rPr>
                <w:i/>
                <w:lang w:val="fr-FR"/>
              </w:rPr>
              <w:br/>
            </w:r>
            <w:r>
              <w:rPr>
                <w:lang w:val="fr-FR"/>
              </w:rPr>
              <w:t>On utilisera la colonne 3 du barème III pour un montant de</w:t>
            </w:r>
            <w:r w:rsidR="002B1478">
              <w:rPr>
                <w:lang w:val="fr-FR"/>
              </w:rPr>
              <w:t xml:space="preserve"> </w:t>
            </w:r>
            <w:r w:rsidR="00497BE8">
              <w:rPr>
                <w:lang w:val="fr-FR"/>
              </w:rPr>
              <w:t>4.418,37</w:t>
            </w:r>
            <w:r w:rsidR="002B1478">
              <w:rPr>
                <w:lang w:val="fr-FR"/>
              </w:rPr>
              <w:t xml:space="preserve"> </w:t>
            </w:r>
            <w:r>
              <w:rPr>
                <w:lang w:val="fr-FR"/>
              </w:rPr>
              <w:t>euros</w:t>
            </w:r>
          </w:p>
        </w:tc>
        <w:tc>
          <w:tcPr>
            <w:tcW w:w="2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CFBDE1" w14:textId="3C918B98" w:rsidR="002421E2" w:rsidRDefault="2BE612C4" w:rsidP="003D2D14">
            <w:pPr>
              <w:spacing w:after="0"/>
              <w:rPr>
                <w:lang w:val="fr-FR"/>
              </w:rPr>
            </w:pPr>
            <w:r w:rsidRPr="583BB7D7">
              <w:rPr>
                <w:lang w:val="fr-FR"/>
              </w:rPr>
              <w:t>1.842,11</w:t>
            </w:r>
          </w:p>
          <w:p w14:paraId="3FC43282" w14:textId="3C0E654A" w:rsidR="002421E2" w:rsidRDefault="002421E2" w:rsidP="583BB7D7">
            <w:pPr>
              <w:spacing w:after="0"/>
              <w:rPr>
                <w:lang w:val="fr-FR"/>
              </w:rPr>
            </w:pPr>
          </w:p>
        </w:tc>
      </w:tr>
      <w:tr w:rsidR="002421E2" w14:paraId="568EB077" w14:textId="77777777" w:rsidTr="583BB7D7">
        <w:tc>
          <w:tcPr>
            <w:tcW w:w="6770" w:type="dxa"/>
            <w:tcBorders>
              <w:top w:val="single" w:sz="4" w:space="0" w:color="000000" w:themeColor="text1"/>
              <w:left w:val="single" w:sz="4" w:space="0" w:color="000000" w:themeColor="text1"/>
              <w:bottom w:val="single" w:sz="4" w:space="0" w:color="000000" w:themeColor="text1"/>
            </w:tcBorders>
            <w:shd w:val="clear" w:color="auto" w:fill="auto"/>
          </w:tcPr>
          <w:p w14:paraId="78AF745F" w14:textId="77777777" w:rsidR="002421E2" w:rsidRDefault="002421E2" w:rsidP="00357D26">
            <w:pPr>
              <w:rPr>
                <w:u w:val="single"/>
                <w:lang w:val="fr-FR"/>
              </w:rPr>
            </w:pPr>
            <w:r>
              <w:rPr>
                <w:lang w:val="fr-FR"/>
              </w:rPr>
              <w:t>Réduction pour charge de famille</w:t>
            </w:r>
          </w:p>
        </w:tc>
        <w:tc>
          <w:tcPr>
            <w:tcW w:w="2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068BA" w14:textId="77777777" w:rsidR="002421E2" w:rsidRDefault="002421E2" w:rsidP="00357D26">
            <w:pPr>
              <w:jc w:val="center"/>
            </w:pPr>
            <w:r>
              <w:rPr>
                <w:u w:val="single"/>
                <w:lang w:val="fr-FR"/>
              </w:rPr>
              <w:t>0,00</w:t>
            </w:r>
          </w:p>
        </w:tc>
      </w:tr>
      <w:tr w:rsidR="002421E2" w14:paraId="7715F3E0" w14:textId="77777777" w:rsidTr="583BB7D7">
        <w:tc>
          <w:tcPr>
            <w:tcW w:w="6770" w:type="dxa"/>
            <w:tcBorders>
              <w:top w:val="single" w:sz="4" w:space="0" w:color="000000" w:themeColor="text1"/>
              <w:left w:val="single" w:sz="4" w:space="0" w:color="000000" w:themeColor="text1"/>
              <w:bottom w:val="single" w:sz="4" w:space="0" w:color="000000" w:themeColor="text1"/>
            </w:tcBorders>
            <w:shd w:val="clear" w:color="auto" w:fill="auto"/>
          </w:tcPr>
          <w:p w14:paraId="3B1499AD" w14:textId="77777777" w:rsidR="002421E2" w:rsidRDefault="002421E2" w:rsidP="00357D26">
            <w:pPr>
              <w:rPr>
                <w:lang w:val="fr-FR"/>
              </w:rPr>
            </w:pPr>
            <w:r>
              <w:rPr>
                <w:lang w:val="fr-FR"/>
              </w:rPr>
              <w:t>Précompte à retenir</w:t>
            </w:r>
            <w:r>
              <w:rPr>
                <w:lang w:val="fr-FR"/>
              </w:rPr>
              <w:tab/>
            </w:r>
          </w:p>
        </w:tc>
        <w:tc>
          <w:tcPr>
            <w:tcW w:w="2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85086" w14:textId="79865D34" w:rsidR="002421E2" w:rsidRPr="005048D6" w:rsidRDefault="2C349A8B" w:rsidP="003D2D14">
            <w:pPr>
              <w:spacing w:after="0"/>
              <w:rPr>
                <w:lang w:val="fr-FR"/>
              </w:rPr>
            </w:pPr>
            <w:r w:rsidRPr="583BB7D7">
              <w:rPr>
                <w:lang w:val="fr-FR"/>
              </w:rPr>
              <w:t>1.842,11</w:t>
            </w:r>
          </w:p>
        </w:tc>
      </w:tr>
    </w:tbl>
    <w:p w14:paraId="2039D85B" w14:textId="77777777" w:rsidR="002421E2" w:rsidRDefault="002421E2" w:rsidP="002421E2">
      <w:pPr>
        <w:rPr>
          <w:b/>
          <w:lang w:val="fr-FR"/>
        </w:rPr>
      </w:pPr>
    </w:p>
    <w:p w14:paraId="662DD7D3" w14:textId="77777777" w:rsidR="002421E2" w:rsidRDefault="002421E2" w:rsidP="002421E2">
      <w:pPr>
        <w:numPr>
          <w:ilvl w:val="0"/>
          <w:numId w:val="4"/>
        </w:numPr>
        <w:suppressAutoHyphens/>
        <w:spacing w:after="240" w:line="240" w:lineRule="auto"/>
        <w:rPr>
          <w:sz w:val="16"/>
          <w:szCs w:val="16"/>
          <w:lang w:val="fr-FR"/>
        </w:rPr>
      </w:pPr>
      <w:r>
        <w:rPr>
          <w:rFonts w:eastAsia="Arial"/>
          <w:b/>
          <w:sz w:val="16"/>
          <w:szCs w:val="16"/>
          <w:lang w:val="fr-FR"/>
        </w:rPr>
        <w:lastRenderedPageBreak/>
        <w:t xml:space="preserve"> </w:t>
      </w:r>
      <w:r>
        <w:rPr>
          <w:b/>
          <w:lang w:val="fr-FR"/>
        </w:rPr>
        <w:t>Calcul du précompte à retenir sur la rémunération non périodique</w:t>
      </w:r>
    </w:p>
    <w:tbl>
      <w:tblPr>
        <w:tblW w:w="0" w:type="auto"/>
        <w:tblInd w:w="-5" w:type="dxa"/>
        <w:tblLayout w:type="fixed"/>
        <w:tblLook w:val="0000" w:firstRow="0" w:lastRow="0" w:firstColumn="0" w:lastColumn="0" w:noHBand="0" w:noVBand="0"/>
      </w:tblPr>
      <w:tblGrid>
        <w:gridCol w:w="5295"/>
        <w:gridCol w:w="1996"/>
        <w:gridCol w:w="2006"/>
      </w:tblGrid>
      <w:tr w:rsidR="002421E2" w14:paraId="1D5B5D4E" w14:textId="77777777" w:rsidTr="2D766036">
        <w:tc>
          <w:tcPr>
            <w:tcW w:w="5295" w:type="dxa"/>
            <w:tcBorders>
              <w:top w:val="single" w:sz="4" w:space="0" w:color="000000" w:themeColor="text1"/>
              <w:left w:val="single" w:sz="4" w:space="0" w:color="000000" w:themeColor="text1"/>
              <w:bottom w:val="single" w:sz="4" w:space="0" w:color="000000" w:themeColor="text1"/>
            </w:tcBorders>
            <w:shd w:val="clear" w:color="auto" w:fill="auto"/>
          </w:tcPr>
          <w:p w14:paraId="07BD9F69" w14:textId="77777777" w:rsidR="002421E2" w:rsidRDefault="002421E2" w:rsidP="00357D26">
            <w:pPr>
              <w:snapToGrid w:val="0"/>
              <w:rPr>
                <w:sz w:val="16"/>
                <w:szCs w:val="16"/>
                <w:lang w:val="fr-FR"/>
              </w:rPr>
            </w:pPr>
          </w:p>
        </w:tc>
        <w:tc>
          <w:tcPr>
            <w:tcW w:w="1996" w:type="dxa"/>
            <w:tcBorders>
              <w:top w:val="single" w:sz="4" w:space="0" w:color="000000" w:themeColor="text1"/>
              <w:left w:val="single" w:sz="4" w:space="0" w:color="000000" w:themeColor="text1"/>
              <w:bottom w:val="single" w:sz="4" w:space="0" w:color="000000" w:themeColor="text1"/>
            </w:tcBorders>
            <w:shd w:val="clear" w:color="auto" w:fill="auto"/>
          </w:tcPr>
          <w:p w14:paraId="109925E3" w14:textId="77777777" w:rsidR="002421E2" w:rsidRDefault="002421E2" w:rsidP="00357D26">
            <w:pPr>
              <w:rPr>
                <w:b/>
                <w:lang w:val="fr-FR"/>
              </w:rPr>
            </w:pPr>
            <w:r>
              <w:rPr>
                <w:b/>
                <w:lang w:val="fr-FR"/>
              </w:rPr>
              <w:t>Résident</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4F256B" w14:textId="77777777" w:rsidR="002421E2" w:rsidRDefault="002421E2" w:rsidP="00357D26">
            <w:r>
              <w:rPr>
                <w:b/>
                <w:lang w:val="fr-FR"/>
              </w:rPr>
              <w:t>Non résident</w:t>
            </w:r>
          </w:p>
        </w:tc>
      </w:tr>
      <w:tr w:rsidR="002421E2" w14:paraId="08BD8F85" w14:textId="77777777" w:rsidTr="2D766036">
        <w:tc>
          <w:tcPr>
            <w:tcW w:w="5295" w:type="dxa"/>
            <w:tcBorders>
              <w:top w:val="single" w:sz="4" w:space="0" w:color="000000" w:themeColor="text1"/>
              <w:left w:val="single" w:sz="4" w:space="0" w:color="000000" w:themeColor="text1"/>
              <w:bottom w:val="single" w:sz="4" w:space="0" w:color="000000" w:themeColor="text1"/>
            </w:tcBorders>
            <w:shd w:val="clear" w:color="auto" w:fill="auto"/>
          </w:tcPr>
          <w:p w14:paraId="55172E3C" w14:textId="77777777" w:rsidR="002421E2" w:rsidRDefault="002421E2" w:rsidP="00357D26">
            <w:pPr>
              <w:rPr>
                <w:lang w:val="fr-FR"/>
              </w:rPr>
            </w:pPr>
            <w:r>
              <w:rPr>
                <w:lang w:val="fr-FR"/>
              </w:rPr>
              <w:t>Rémunération non périodique</w:t>
            </w:r>
            <w:r>
              <w:rPr>
                <w:lang w:val="fr-FR"/>
              </w:rPr>
              <w:tab/>
            </w:r>
          </w:p>
        </w:tc>
        <w:tc>
          <w:tcPr>
            <w:tcW w:w="1996" w:type="dxa"/>
            <w:tcBorders>
              <w:top w:val="single" w:sz="4" w:space="0" w:color="000000" w:themeColor="text1"/>
              <w:left w:val="single" w:sz="4" w:space="0" w:color="000000" w:themeColor="text1"/>
              <w:bottom w:val="single" w:sz="4" w:space="0" w:color="000000" w:themeColor="text1"/>
            </w:tcBorders>
            <w:shd w:val="clear" w:color="auto" w:fill="auto"/>
          </w:tcPr>
          <w:p w14:paraId="755596C6" w14:textId="77777777" w:rsidR="002421E2" w:rsidRDefault="002421E2" w:rsidP="00357D26">
            <w:pPr>
              <w:rPr>
                <w:lang w:val="fr-FR"/>
              </w:rPr>
            </w:pPr>
            <w:r>
              <w:rPr>
                <w:lang w:val="fr-FR"/>
              </w:rPr>
              <w:t>20.000,00</w:t>
            </w:r>
            <w:r>
              <w:rPr>
                <w:lang w:val="fr-FR"/>
              </w:rPr>
              <w:tab/>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6281B" w14:textId="77777777" w:rsidR="002421E2" w:rsidRDefault="002421E2" w:rsidP="00357D26">
            <w:r>
              <w:rPr>
                <w:lang w:val="fr-FR"/>
              </w:rPr>
              <w:t>20.000,00</w:t>
            </w:r>
          </w:p>
        </w:tc>
      </w:tr>
      <w:tr w:rsidR="002421E2" w:rsidRPr="003D2D14" w14:paraId="4926EFF4" w14:textId="77777777" w:rsidTr="2D766036">
        <w:tc>
          <w:tcPr>
            <w:tcW w:w="5295" w:type="dxa"/>
            <w:tcBorders>
              <w:top w:val="single" w:sz="4" w:space="0" w:color="000000" w:themeColor="text1"/>
              <w:left w:val="single" w:sz="4" w:space="0" w:color="000000" w:themeColor="text1"/>
              <w:bottom w:val="single" w:sz="4" w:space="0" w:color="000000" w:themeColor="text1"/>
            </w:tcBorders>
            <w:shd w:val="clear" w:color="auto" w:fill="auto"/>
          </w:tcPr>
          <w:p w14:paraId="6B379098" w14:textId="77777777" w:rsidR="002421E2" w:rsidRDefault="002421E2" w:rsidP="00357D26">
            <w:pPr>
              <w:rPr>
                <w:lang w:val="fr-FR"/>
              </w:rPr>
            </w:pPr>
            <w:r>
              <w:rPr>
                <w:lang w:val="fr-FR"/>
              </w:rPr>
              <w:t xml:space="preserve">Différence entre le précompte calculé sur la rémunération périodique et sur la </w:t>
            </w:r>
            <w:r>
              <w:rPr>
                <w:lang w:val="fr-FR"/>
              </w:rPr>
              <w:br/>
              <w:t>rémunération périodique augmentée du 12ème de la rémunération non périodique</w:t>
            </w:r>
          </w:p>
        </w:tc>
        <w:tc>
          <w:tcPr>
            <w:tcW w:w="1996" w:type="dxa"/>
            <w:tcBorders>
              <w:top w:val="single" w:sz="4" w:space="0" w:color="000000" w:themeColor="text1"/>
              <w:left w:val="single" w:sz="4" w:space="0" w:color="000000" w:themeColor="text1"/>
              <w:bottom w:val="single" w:sz="4" w:space="0" w:color="000000" w:themeColor="text1"/>
            </w:tcBorders>
            <w:shd w:val="clear" w:color="auto" w:fill="auto"/>
          </w:tcPr>
          <w:p w14:paraId="4DB308A9" w14:textId="77777777" w:rsidR="002421E2" w:rsidRDefault="002421E2" w:rsidP="00357D26">
            <w:pPr>
              <w:snapToGrid w:val="0"/>
              <w:rPr>
                <w:lang w:val="fr-FR"/>
              </w:rPr>
            </w:pP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01588" w14:textId="77777777" w:rsidR="002421E2" w:rsidRDefault="002421E2" w:rsidP="00357D26">
            <w:pPr>
              <w:snapToGrid w:val="0"/>
              <w:rPr>
                <w:lang w:val="fr-FR"/>
              </w:rPr>
            </w:pPr>
          </w:p>
        </w:tc>
      </w:tr>
      <w:tr w:rsidR="002421E2" w14:paraId="32F4DBE0" w14:textId="77777777" w:rsidTr="2D766036">
        <w:tc>
          <w:tcPr>
            <w:tcW w:w="5295" w:type="dxa"/>
            <w:tcBorders>
              <w:top w:val="single" w:sz="4" w:space="0" w:color="000000" w:themeColor="text1"/>
              <w:left w:val="single" w:sz="4" w:space="0" w:color="000000" w:themeColor="text1"/>
              <w:bottom w:val="single" w:sz="4" w:space="0" w:color="000000" w:themeColor="text1"/>
            </w:tcBorders>
            <w:shd w:val="clear" w:color="auto" w:fill="auto"/>
          </w:tcPr>
          <w:p w14:paraId="530043EB" w14:textId="04B7D333" w:rsidR="00F53725" w:rsidRPr="00DF0F7E" w:rsidRDefault="002421E2" w:rsidP="583BB7D7">
            <w:pPr>
              <w:pStyle w:val="ListParagraph"/>
              <w:numPr>
                <w:ilvl w:val="0"/>
                <w:numId w:val="5"/>
              </w:numPr>
              <w:rPr>
                <w:rFonts w:asciiTheme="minorHAnsi" w:eastAsiaTheme="minorEastAsia" w:hAnsiTheme="minorHAnsi" w:cstheme="minorBidi"/>
              </w:rPr>
            </w:pPr>
            <w:r w:rsidRPr="583BB7D7">
              <w:rPr>
                <w:i/>
                <w:iCs/>
              </w:rPr>
              <w:t xml:space="preserve">Le </w:t>
            </w:r>
            <w:r w:rsidRPr="583BB7D7">
              <w:rPr>
                <w:b/>
                <w:bCs/>
                <w:i/>
                <w:iCs/>
              </w:rPr>
              <w:t>résident</w:t>
            </w:r>
            <w:r>
              <w:br/>
              <w:t>Soit (</w:t>
            </w:r>
            <w:r w:rsidRPr="583BB7D7">
              <w:rPr>
                <w:b/>
                <w:bCs/>
              </w:rPr>
              <w:t>B</w:t>
            </w:r>
            <w:r>
              <w:t xml:space="preserve">- </w:t>
            </w:r>
            <w:r w:rsidRPr="583BB7D7">
              <w:rPr>
                <w:b/>
                <w:bCs/>
              </w:rPr>
              <w:t>A</w:t>
            </w:r>
            <w:r>
              <w:t>)</w:t>
            </w:r>
            <w:r w:rsidR="002B1478">
              <w:t xml:space="preserve"> </w:t>
            </w:r>
            <w:r>
              <w:t>Différence de précompte (B – A</w:t>
            </w:r>
            <w:r w:rsidR="0AB92CAC">
              <w:t xml:space="preserve"> = </w:t>
            </w:r>
            <w:r w:rsidR="4B198487" w:rsidRPr="583BB7D7">
              <w:rPr>
                <w:rFonts w:eastAsia="Arial"/>
              </w:rPr>
              <w:t>1.142,87</w:t>
            </w:r>
            <w:r w:rsidR="00DF0F7E">
              <w:t xml:space="preserve"> </w:t>
            </w:r>
            <w:r w:rsidR="5A5990CA">
              <w:t>–</w:t>
            </w:r>
            <w:r w:rsidR="00DF0F7E">
              <w:t xml:space="preserve"> </w:t>
            </w:r>
            <w:r w:rsidR="548C5144" w:rsidRPr="003D2D14">
              <w:t>519,74</w:t>
            </w:r>
          </w:p>
          <w:p w14:paraId="4E49C695" w14:textId="057015A2" w:rsidR="002421E2" w:rsidRPr="00F53725" w:rsidRDefault="00DF0F7E" w:rsidP="003D2D14">
            <w:pPr>
              <w:pStyle w:val="ListParagraph"/>
            </w:pPr>
            <w:r>
              <w:t xml:space="preserve"> </w:t>
            </w:r>
            <w:r w:rsidR="002421E2">
              <w:t>=</w:t>
            </w:r>
            <w:r w:rsidR="45A36B04">
              <w:t>623,13</w:t>
            </w:r>
            <w:r w:rsidR="002421E2">
              <w:t xml:space="preserve">Précompte à retenir sur la rémunération non périodique du résident </w:t>
            </w:r>
            <w:r w:rsidR="217A15A9">
              <w:t>626</w:t>
            </w:r>
            <w:r w:rsidR="42A873A4">
              <w:t>,17</w:t>
            </w:r>
            <w:r>
              <w:t xml:space="preserve"> </w:t>
            </w:r>
            <w:r w:rsidR="002421E2">
              <w:t>x 12=</w:t>
            </w:r>
          </w:p>
        </w:tc>
        <w:tc>
          <w:tcPr>
            <w:tcW w:w="1996" w:type="dxa"/>
            <w:tcBorders>
              <w:top w:val="single" w:sz="4" w:space="0" w:color="000000" w:themeColor="text1"/>
              <w:left w:val="single" w:sz="4" w:space="0" w:color="000000" w:themeColor="text1"/>
              <w:bottom w:val="single" w:sz="4" w:space="0" w:color="000000" w:themeColor="text1"/>
            </w:tcBorders>
            <w:shd w:val="clear" w:color="auto" w:fill="auto"/>
          </w:tcPr>
          <w:p w14:paraId="7F542628" w14:textId="37FAA55E" w:rsidR="002421E2" w:rsidRDefault="002421E2" w:rsidP="00F53725">
            <w:pPr>
              <w:rPr>
                <w:lang w:val="fr-FR"/>
              </w:rPr>
            </w:pPr>
            <w:r w:rsidRPr="003D2D14">
              <w:rPr>
                <w:lang w:val="fr-FR"/>
              </w:rPr>
              <w:br/>
            </w:r>
            <w:r w:rsidRPr="003D2D14">
              <w:rPr>
                <w:lang w:val="fr-FR"/>
              </w:rPr>
              <w:br/>
            </w:r>
            <w:r w:rsidRPr="003D2D14">
              <w:rPr>
                <w:lang w:val="fr-FR"/>
              </w:rPr>
              <w:br/>
            </w:r>
            <w:r w:rsidRPr="583BB7D7">
              <w:rPr>
                <w:lang w:val="fr-FR"/>
              </w:rPr>
              <w:t xml:space="preserve">- </w:t>
            </w:r>
            <w:r w:rsidR="022DE5F3" w:rsidRPr="583BB7D7">
              <w:rPr>
                <w:lang w:val="fr-FR"/>
              </w:rPr>
              <w:t>7.477,56</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48B92D" w14:textId="77777777" w:rsidR="002421E2" w:rsidRDefault="002421E2" w:rsidP="00357D26">
            <w:pPr>
              <w:snapToGrid w:val="0"/>
              <w:rPr>
                <w:lang w:val="fr-FR"/>
              </w:rPr>
            </w:pPr>
          </w:p>
        </w:tc>
      </w:tr>
      <w:tr w:rsidR="002421E2" w:rsidRPr="00F53725" w14:paraId="09E5E715" w14:textId="77777777" w:rsidTr="2D766036">
        <w:tc>
          <w:tcPr>
            <w:tcW w:w="5295" w:type="dxa"/>
            <w:tcBorders>
              <w:top w:val="single" w:sz="4" w:space="0" w:color="000000" w:themeColor="text1"/>
              <w:left w:val="single" w:sz="4" w:space="0" w:color="000000" w:themeColor="text1"/>
              <w:bottom w:val="single" w:sz="4" w:space="0" w:color="000000" w:themeColor="text1"/>
            </w:tcBorders>
            <w:shd w:val="clear" w:color="auto" w:fill="auto"/>
          </w:tcPr>
          <w:p w14:paraId="76A3E2C2" w14:textId="02899D2A" w:rsidR="002421E2" w:rsidRDefault="002421E2" w:rsidP="00F53725">
            <w:pPr>
              <w:rPr>
                <w:lang w:val="fr-FR"/>
              </w:rPr>
            </w:pPr>
            <w:r w:rsidRPr="583BB7D7">
              <w:rPr>
                <w:b/>
                <w:bCs/>
                <w:lang w:val="fr-FR"/>
              </w:rPr>
              <w:t>2)</w:t>
            </w:r>
            <w:r>
              <w:rPr>
                <w:lang w:val="fr-FR"/>
              </w:rPr>
              <w:t xml:space="preserve"> </w:t>
            </w:r>
            <w:r w:rsidRPr="583BB7D7">
              <w:rPr>
                <w:i/>
                <w:iCs/>
                <w:lang w:val="fr-FR"/>
              </w:rPr>
              <w:t xml:space="preserve">Le </w:t>
            </w:r>
            <w:r w:rsidRPr="583BB7D7">
              <w:rPr>
                <w:b/>
                <w:bCs/>
                <w:i/>
                <w:iCs/>
                <w:lang w:val="fr-FR"/>
              </w:rPr>
              <w:t>non-résident</w:t>
            </w:r>
            <w:r>
              <w:rPr>
                <w:b/>
                <w:i/>
                <w:lang w:val="fr-FR"/>
              </w:rPr>
              <w:br/>
            </w:r>
            <w:r>
              <w:rPr>
                <w:lang w:val="fr-FR"/>
              </w:rPr>
              <w:t>Différence de précompte (</w:t>
            </w:r>
            <w:r w:rsidRPr="583BB7D7">
              <w:rPr>
                <w:b/>
                <w:bCs/>
                <w:lang w:val="fr-FR"/>
              </w:rPr>
              <w:t>B-A</w:t>
            </w:r>
            <w:r>
              <w:rPr>
                <w:lang w:val="fr-FR"/>
              </w:rPr>
              <w:t>)</w:t>
            </w:r>
            <w:r w:rsidR="00C8DEC9">
              <w:rPr>
                <w:lang w:val="fr-FR"/>
              </w:rPr>
              <w:t>1.842,11</w:t>
            </w:r>
            <w:r w:rsidR="2F5FCF81">
              <w:rPr>
                <w:lang w:val="fr-FR"/>
              </w:rPr>
              <w:t>-</w:t>
            </w:r>
            <w:r w:rsidR="5431CFFA">
              <w:rPr>
                <w:lang w:val="fr-FR"/>
              </w:rPr>
              <w:t>1.165,83</w:t>
            </w:r>
            <w:r>
              <w:rPr>
                <w:lang w:val="fr-FR"/>
              </w:rPr>
              <w:t xml:space="preserve"> = </w:t>
            </w:r>
            <w:r>
              <w:rPr>
                <w:lang w:val="fr-FR"/>
              </w:rPr>
              <w:tab/>
            </w:r>
            <w:r w:rsidR="496283FF">
              <w:rPr>
                <w:lang w:val="fr-FR"/>
              </w:rPr>
              <w:t xml:space="preserve">676,28 </w:t>
            </w:r>
            <w:r>
              <w:rPr>
                <w:lang w:val="fr-FR"/>
              </w:rPr>
              <w:t>Précompte à retenir sur la rémunération non périodique du non résident =</w:t>
            </w:r>
            <w:r w:rsidR="002B1478">
              <w:rPr>
                <w:lang w:val="fr-FR"/>
              </w:rPr>
              <w:t xml:space="preserve"> </w:t>
            </w:r>
            <w:r w:rsidR="5132E618">
              <w:rPr>
                <w:lang w:val="fr-FR"/>
              </w:rPr>
              <w:t>676,28</w:t>
            </w:r>
            <w:r w:rsidR="00DF0F7E">
              <w:rPr>
                <w:lang w:val="fr-FR"/>
              </w:rPr>
              <w:t xml:space="preserve"> </w:t>
            </w:r>
            <w:r>
              <w:rPr>
                <w:lang w:val="fr-FR"/>
              </w:rPr>
              <w:t>x 12</w:t>
            </w:r>
            <w:r>
              <w:rPr>
                <w:lang w:val="fr-FR"/>
              </w:rPr>
              <w:tab/>
            </w:r>
          </w:p>
        </w:tc>
        <w:tc>
          <w:tcPr>
            <w:tcW w:w="1996" w:type="dxa"/>
            <w:tcBorders>
              <w:top w:val="single" w:sz="4" w:space="0" w:color="000000" w:themeColor="text1"/>
              <w:left w:val="single" w:sz="4" w:space="0" w:color="000000" w:themeColor="text1"/>
              <w:bottom w:val="single" w:sz="4" w:space="0" w:color="000000" w:themeColor="text1"/>
            </w:tcBorders>
            <w:shd w:val="clear" w:color="auto" w:fill="auto"/>
          </w:tcPr>
          <w:p w14:paraId="083F2A23" w14:textId="77777777" w:rsidR="002421E2" w:rsidRDefault="002421E2" w:rsidP="00357D26">
            <w:pPr>
              <w:rPr>
                <w:lang w:val="fr-FR"/>
              </w:rPr>
            </w:pPr>
            <w:r>
              <w:rPr>
                <w:lang w:val="fr-FR"/>
              </w:rPr>
              <w:br/>
            </w:r>
            <w:r>
              <w:rPr>
                <w:lang w:val="fr-FR"/>
              </w:rPr>
              <w:br/>
              <w:t xml:space="preserve"> </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40255A" w14:textId="7E9E531D" w:rsidR="002421E2" w:rsidRPr="002B1478" w:rsidRDefault="002421E2" w:rsidP="583BB7D7">
            <w:pPr>
              <w:rPr>
                <w:u w:val="single"/>
                <w:lang w:val="fr-FR"/>
              </w:rPr>
            </w:pPr>
            <w:r w:rsidRPr="003D2D14">
              <w:rPr>
                <w:lang w:val="fr-FR"/>
              </w:rPr>
              <w:br/>
            </w:r>
            <w:r w:rsidRPr="003D2D14">
              <w:rPr>
                <w:lang w:val="fr-FR"/>
              </w:rPr>
              <w:br/>
            </w:r>
            <w:r w:rsidRPr="003D2D14">
              <w:rPr>
                <w:lang w:val="fr-FR"/>
              </w:rPr>
              <w:br/>
            </w:r>
            <w:r w:rsidRPr="583BB7D7">
              <w:rPr>
                <w:u w:val="single"/>
                <w:lang w:val="fr-FR"/>
              </w:rPr>
              <w:t>-</w:t>
            </w:r>
            <w:r w:rsidR="388457FA" w:rsidRPr="583BB7D7">
              <w:rPr>
                <w:u w:val="single"/>
                <w:lang w:val="fr-FR"/>
              </w:rPr>
              <w:t>8.115,36</w:t>
            </w:r>
          </w:p>
        </w:tc>
      </w:tr>
      <w:tr w:rsidR="002421E2" w:rsidRPr="00F53725" w14:paraId="1C5682E5" w14:textId="77777777" w:rsidTr="2D766036">
        <w:tc>
          <w:tcPr>
            <w:tcW w:w="5295" w:type="dxa"/>
            <w:tcBorders>
              <w:top w:val="single" w:sz="4" w:space="0" w:color="000000" w:themeColor="text1"/>
              <w:left w:val="single" w:sz="4" w:space="0" w:color="000000" w:themeColor="text1"/>
              <w:bottom w:val="single" w:sz="4" w:space="0" w:color="000000" w:themeColor="text1"/>
            </w:tcBorders>
            <w:shd w:val="clear" w:color="auto" w:fill="auto"/>
          </w:tcPr>
          <w:p w14:paraId="53DECDFF" w14:textId="77777777" w:rsidR="002421E2" w:rsidRDefault="002421E2" w:rsidP="00357D26">
            <w:pPr>
              <w:rPr>
                <w:lang w:val="fr-FR"/>
              </w:rPr>
            </w:pPr>
            <w:r>
              <w:rPr>
                <w:lang w:val="fr-FR"/>
              </w:rPr>
              <w:t>Rémunération non périodique nette</w:t>
            </w:r>
          </w:p>
        </w:tc>
        <w:tc>
          <w:tcPr>
            <w:tcW w:w="1996" w:type="dxa"/>
            <w:tcBorders>
              <w:top w:val="single" w:sz="4" w:space="0" w:color="000000" w:themeColor="text1"/>
              <w:left w:val="single" w:sz="4" w:space="0" w:color="000000" w:themeColor="text1"/>
              <w:bottom w:val="single" w:sz="4" w:space="0" w:color="000000" w:themeColor="text1"/>
            </w:tcBorders>
            <w:shd w:val="clear" w:color="auto" w:fill="auto"/>
          </w:tcPr>
          <w:p w14:paraId="25918069" w14:textId="0F18F162" w:rsidR="00F53725" w:rsidRDefault="681C6B49" w:rsidP="00357D26">
            <w:pPr>
              <w:rPr>
                <w:lang w:val="fr-FR"/>
              </w:rPr>
            </w:pPr>
            <w:r w:rsidRPr="583BB7D7">
              <w:rPr>
                <w:lang w:val="fr-FR"/>
              </w:rPr>
              <w:t>12.522,44</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3C6574" w14:textId="4AF0FA44" w:rsidR="00955B0D" w:rsidRPr="00596F57" w:rsidRDefault="3BB5EEF3" w:rsidP="003D2D14">
            <w:pPr>
              <w:spacing w:after="0"/>
              <w:rPr>
                <w:lang w:val="fr-FR"/>
              </w:rPr>
            </w:pPr>
            <w:r w:rsidRPr="583BB7D7">
              <w:rPr>
                <w:lang w:val="fr-FR"/>
              </w:rPr>
              <w:t>11.884,64</w:t>
            </w:r>
          </w:p>
          <w:p w14:paraId="59F80EA4" w14:textId="71B87975" w:rsidR="00955B0D" w:rsidRPr="00596F57" w:rsidRDefault="00955B0D" w:rsidP="583BB7D7">
            <w:pPr>
              <w:spacing w:after="0"/>
              <w:rPr>
                <w:lang w:val="fr-FR"/>
              </w:rPr>
            </w:pPr>
          </w:p>
        </w:tc>
      </w:tr>
    </w:tbl>
    <w:p w14:paraId="3DE85273" w14:textId="77777777" w:rsidR="00A84CC6" w:rsidRPr="002B1478" w:rsidRDefault="00A84CC6">
      <w:pPr>
        <w:rPr>
          <w:vanish/>
          <w:lang w:val="fr-BE"/>
          <w:specVanish/>
        </w:rPr>
      </w:pPr>
    </w:p>
    <w:p w14:paraId="14AFD5A7" w14:textId="77777777" w:rsidR="005607BA" w:rsidRPr="002B1478" w:rsidRDefault="00A84CC6" w:rsidP="00A84CC6">
      <w:pPr>
        <w:rPr>
          <w:lang w:val="fr-BE"/>
        </w:rPr>
      </w:pPr>
      <w:r w:rsidRPr="002B1478">
        <w:rPr>
          <w:lang w:val="fr-BE"/>
        </w:rPr>
        <w:t xml:space="preserve"> </w:t>
      </w:r>
    </w:p>
    <w:p w14:paraId="38A43345" w14:textId="77777777" w:rsidR="00A84CC6" w:rsidRPr="002B1478" w:rsidRDefault="00A84CC6" w:rsidP="00A84CC6">
      <w:pPr>
        <w:rPr>
          <w:lang w:val="fr-BE"/>
        </w:rPr>
      </w:pPr>
    </w:p>
    <w:p w14:paraId="0E4FC279" w14:textId="77777777" w:rsidR="00A84CC6" w:rsidRPr="002B1478" w:rsidRDefault="00A84CC6" w:rsidP="00A84CC6">
      <w:pPr>
        <w:rPr>
          <w:lang w:val="fr-BE"/>
        </w:rPr>
      </w:pPr>
    </w:p>
    <w:p w14:paraId="24E45EB8" w14:textId="77777777" w:rsidR="00A84CC6" w:rsidRPr="002B1478" w:rsidRDefault="00A84CC6" w:rsidP="00A84CC6">
      <w:pPr>
        <w:rPr>
          <w:lang w:val="fr-BE"/>
        </w:rPr>
      </w:pPr>
    </w:p>
    <w:p w14:paraId="68128C9D" w14:textId="77777777" w:rsidR="00A84CC6" w:rsidRPr="002B1478" w:rsidRDefault="00A84CC6" w:rsidP="00A84CC6">
      <w:pPr>
        <w:rPr>
          <w:lang w:val="fr-BE"/>
        </w:rPr>
      </w:pPr>
    </w:p>
    <w:p w14:paraId="2AA93FB9" w14:textId="77777777" w:rsidR="00A84CC6" w:rsidRPr="002B1478" w:rsidRDefault="00A84CC6" w:rsidP="00A84CC6">
      <w:pPr>
        <w:rPr>
          <w:lang w:val="fr-BE"/>
        </w:rPr>
      </w:pPr>
    </w:p>
    <w:p w14:paraId="39FE6A22" w14:textId="77777777" w:rsidR="00A84CC6" w:rsidRPr="002B1478" w:rsidRDefault="00A84CC6" w:rsidP="00A84CC6">
      <w:pPr>
        <w:rPr>
          <w:lang w:val="fr-BE"/>
        </w:rPr>
      </w:pPr>
    </w:p>
    <w:p w14:paraId="0D9E9942" w14:textId="77777777" w:rsidR="002B1478" w:rsidRDefault="002B1478" w:rsidP="00A84CC6">
      <w:pPr>
        <w:rPr>
          <w:b/>
          <w:sz w:val="28"/>
          <w:szCs w:val="28"/>
          <w:lang w:val="fr-BE"/>
        </w:rPr>
      </w:pPr>
    </w:p>
    <w:p w14:paraId="186A42A0" w14:textId="77777777" w:rsidR="00A84CC6" w:rsidRPr="004D008A" w:rsidRDefault="00A84CC6" w:rsidP="00A84CC6">
      <w:pPr>
        <w:rPr>
          <w:b/>
          <w:sz w:val="28"/>
          <w:szCs w:val="28"/>
          <w:lang w:val="fr-BE"/>
        </w:rPr>
      </w:pPr>
      <w:r w:rsidRPr="004D008A">
        <w:rPr>
          <w:b/>
          <w:sz w:val="28"/>
          <w:szCs w:val="28"/>
          <w:lang w:val="fr-BE"/>
        </w:rPr>
        <w:t xml:space="preserve">Annexe </w:t>
      </w:r>
      <w:r w:rsidR="006C3515">
        <w:rPr>
          <w:b/>
          <w:sz w:val="28"/>
          <w:szCs w:val="28"/>
          <w:lang w:val="fr-BE"/>
        </w:rPr>
        <w:t>2</w:t>
      </w:r>
    </w:p>
    <w:p w14:paraId="3F8AAD8F" w14:textId="77777777" w:rsidR="00A84CC6" w:rsidRDefault="00A84CC6" w:rsidP="00A84CC6">
      <w:pPr>
        <w:pStyle w:val="HIFTitre3"/>
      </w:pPr>
      <w:r w:rsidRPr="002421E2">
        <w:t>Exemple</w:t>
      </w:r>
    </w:p>
    <w:p w14:paraId="46311656" w14:textId="085CA5D2" w:rsidR="00A84CC6" w:rsidRDefault="00A84CC6" w:rsidP="00A84CC6">
      <w:pPr>
        <w:rPr>
          <w:lang w:val="fr-FR"/>
        </w:rPr>
      </w:pPr>
      <w:r>
        <w:rPr>
          <w:lang w:val="fr-FR"/>
        </w:rPr>
        <w:t>Pour illustrer cette différence entre le calcul du précompte professionnel et de l’impôt, voici l'exemple d'un dirigeant célibataire qui gagne 5.000 euros par mois durant 12 mois. Il n’a pas de personne à charge et les taxes communales sont de 7 %. Il est en troisième année d’activité</w:t>
      </w:r>
      <w:r w:rsidR="00B410CA">
        <w:rPr>
          <w:lang w:val="fr-FR"/>
        </w:rPr>
        <w:t>.</w:t>
      </w:r>
    </w:p>
    <w:p w14:paraId="6432B90E" w14:textId="7851C798" w:rsidR="00A84CC6" w:rsidRDefault="00A84CC6" w:rsidP="00A84CC6">
      <w:pPr>
        <w:rPr>
          <w:lang w:val="fr-FR"/>
        </w:rPr>
      </w:pPr>
      <w:r>
        <w:rPr>
          <w:lang w:val="fr-FR"/>
        </w:rPr>
        <w:t xml:space="preserve">Remarque : ce calcul a été effectué en euros sur la base des montants applicables à l'exercice d'imposition </w:t>
      </w:r>
      <w:r w:rsidR="00B84588">
        <w:rPr>
          <w:lang w:val="fr-FR"/>
        </w:rPr>
        <w:t>2021</w:t>
      </w:r>
      <w:r w:rsidR="00B410CA">
        <w:rPr>
          <w:lang w:val="fr-FR"/>
        </w:rPr>
        <w:t xml:space="preserve"> </w:t>
      </w:r>
      <w:r>
        <w:rPr>
          <w:lang w:val="fr-FR"/>
        </w:rPr>
        <w:t xml:space="preserve">revenus </w:t>
      </w:r>
      <w:r w:rsidR="00B84588">
        <w:rPr>
          <w:lang w:val="fr-FR"/>
        </w:rPr>
        <w:t>2020</w:t>
      </w:r>
      <w:r w:rsidR="00B410CA">
        <w:rPr>
          <w:lang w:val="fr-FR"/>
        </w:rPr>
        <w:t>.</w:t>
      </w:r>
    </w:p>
    <w:tbl>
      <w:tblPr>
        <w:tblW w:w="0" w:type="auto"/>
        <w:tblInd w:w="-5" w:type="dxa"/>
        <w:tblLayout w:type="fixed"/>
        <w:tblLook w:val="0000" w:firstRow="0" w:lastRow="0" w:firstColumn="0" w:lastColumn="0" w:noHBand="0" w:noVBand="0"/>
      </w:tblPr>
      <w:tblGrid>
        <w:gridCol w:w="2509"/>
        <w:gridCol w:w="3775"/>
        <w:gridCol w:w="3013"/>
      </w:tblGrid>
      <w:tr w:rsidR="00A84CC6" w14:paraId="092DC6E2" w14:textId="77777777" w:rsidTr="2D766036">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08F249CC" w14:textId="77777777" w:rsidR="00A84CC6" w:rsidRDefault="00A84CC6" w:rsidP="000773E8">
            <w:pPr>
              <w:snapToGrid w:val="0"/>
              <w:rPr>
                <w:lang w:val="fr-FR"/>
              </w:rPr>
            </w:pPr>
          </w:p>
        </w:tc>
        <w:tc>
          <w:tcPr>
            <w:tcW w:w="3775" w:type="dxa"/>
            <w:tcBorders>
              <w:top w:val="single" w:sz="4" w:space="0" w:color="000000" w:themeColor="text1"/>
              <w:left w:val="single" w:sz="4" w:space="0" w:color="000000" w:themeColor="text1"/>
              <w:bottom w:val="single" w:sz="4" w:space="0" w:color="000000" w:themeColor="text1"/>
            </w:tcBorders>
            <w:shd w:val="clear" w:color="auto" w:fill="auto"/>
          </w:tcPr>
          <w:p w14:paraId="5205C650" w14:textId="77777777" w:rsidR="00A84CC6" w:rsidRDefault="00A84CC6" w:rsidP="000773E8">
            <w:pPr>
              <w:rPr>
                <w:lang w:val="fr-FR"/>
              </w:rPr>
            </w:pPr>
            <w:r>
              <w:rPr>
                <w:lang w:val="fr-FR"/>
              </w:rPr>
              <w:t>Précompte</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95D589" w14:textId="77777777" w:rsidR="00A84CC6" w:rsidRDefault="00A84CC6" w:rsidP="000773E8">
            <w:r>
              <w:rPr>
                <w:lang w:val="fr-FR"/>
              </w:rPr>
              <w:t>Impôts</w:t>
            </w:r>
          </w:p>
        </w:tc>
      </w:tr>
      <w:tr w:rsidR="00A84CC6" w14:paraId="434CE817" w14:textId="77777777" w:rsidTr="2D766036">
        <w:trPr>
          <w:trHeight w:val="520"/>
        </w:trPr>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3C3384F9" w14:textId="77777777" w:rsidR="00A84CC6" w:rsidRDefault="00A84CC6" w:rsidP="000773E8">
            <w:pPr>
              <w:rPr>
                <w:lang w:val="fr-FR"/>
              </w:rPr>
            </w:pPr>
            <w:r>
              <w:rPr>
                <w:lang w:val="fr-FR"/>
              </w:rPr>
              <w:t>Rémunération brute</w:t>
            </w:r>
          </w:p>
        </w:tc>
        <w:tc>
          <w:tcPr>
            <w:tcW w:w="3775" w:type="dxa"/>
            <w:tcBorders>
              <w:top w:val="single" w:sz="4" w:space="0" w:color="000000" w:themeColor="text1"/>
              <w:left w:val="single" w:sz="4" w:space="0" w:color="000000" w:themeColor="text1"/>
              <w:bottom w:val="single" w:sz="4" w:space="0" w:color="000000" w:themeColor="text1"/>
            </w:tcBorders>
            <w:shd w:val="clear" w:color="auto" w:fill="auto"/>
          </w:tcPr>
          <w:p w14:paraId="1F811921" w14:textId="77777777" w:rsidR="00A84CC6" w:rsidRDefault="00A84CC6" w:rsidP="000773E8">
            <w:pPr>
              <w:rPr>
                <w:lang w:val="fr-FR"/>
              </w:rPr>
            </w:pPr>
            <w:r>
              <w:rPr>
                <w:lang w:val="fr-FR"/>
              </w:rPr>
              <w:t>60.000,00</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ADC435" w14:textId="77777777" w:rsidR="00A84CC6" w:rsidRDefault="00A84CC6" w:rsidP="000773E8">
            <w:r>
              <w:rPr>
                <w:lang w:val="fr-FR"/>
              </w:rPr>
              <w:t xml:space="preserve"> 60.000,00</w:t>
            </w:r>
          </w:p>
        </w:tc>
      </w:tr>
      <w:tr w:rsidR="00A84CC6" w:rsidRPr="00F53725" w14:paraId="61C9A293" w14:textId="77777777" w:rsidTr="2D766036">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78709517" w14:textId="77777777" w:rsidR="00A84CC6" w:rsidRDefault="00A84CC6" w:rsidP="000773E8">
            <w:pPr>
              <w:rPr>
                <w:lang w:val="fr-FR"/>
              </w:rPr>
            </w:pPr>
            <w:r>
              <w:rPr>
                <w:lang w:val="fr-FR"/>
              </w:rPr>
              <w:lastRenderedPageBreak/>
              <w:t xml:space="preserve">Cotisations sociales déduites </w:t>
            </w:r>
          </w:p>
        </w:tc>
        <w:tc>
          <w:tcPr>
            <w:tcW w:w="3775" w:type="dxa"/>
            <w:tcBorders>
              <w:top w:val="single" w:sz="4" w:space="0" w:color="000000" w:themeColor="text1"/>
              <w:left w:val="single" w:sz="4" w:space="0" w:color="000000" w:themeColor="text1"/>
              <w:bottom w:val="single" w:sz="4" w:space="0" w:color="000000" w:themeColor="text1"/>
            </w:tcBorders>
            <w:shd w:val="clear" w:color="auto" w:fill="auto"/>
          </w:tcPr>
          <w:p w14:paraId="1214924A" w14:textId="15652667" w:rsidR="00A84CC6" w:rsidRDefault="00A84CC6" w:rsidP="003D2D14">
            <w:pPr>
              <w:spacing w:after="0"/>
              <w:rPr>
                <w:lang w:val="fr-FR"/>
              </w:rPr>
            </w:pPr>
            <w:r w:rsidRPr="2D766036">
              <w:rPr>
                <w:lang w:val="fr-FR"/>
              </w:rPr>
              <w:t>-</w:t>
            </w:r>
            <w:r w:rsidR="00336A5B" w:rsidRPr="2D766036">
              <w:rPr>
                <w:lang w:val="fr-FR"/>
              </w:rPr>
              <w:t xml:space="preserve"> </w:t>
            </w:r>
            <w:r w:rsidR="40B40AC4" w:rsidRPr="2D766036">
              <w:rPr>
                <w:lang w:val="fr-FR"/>
              </w:rPr>
              <w:t>13.789,60</w:t>
            </w:r>
          </w:p>
          <w:p w14:paraId="3A3CC8F8" w14:textId="77777777" w:rsidR="00A84CC6" w:rsidRPr="00112FCC" w:rsidRDefault="00A84CC6" w:rsidP="000773E8">
            <w:pPr>
              <w:rPr>
                <w:rFonts w:ascii="Calibri" w:hAnsi="Calibri" w:cs="Calibri"/>
                <w:color w:val="000000"/>
                <w:lang w:val="fr-FR"/>
              </w:rPr>
            </w:pPr>
          </w:p>
          <w:p w14:paraId="48F6B2C0" w14:textId="19802CBD" w:rsidR="00A84CC6" w:rsidRDefault="00A84CC6" w:rsidP="003D1461">
            <w:pPr>
              <w:rPr>
                <w:lang w:val="fr-FR"/>
              </w:rPr>
            </w:pPr>
            <w:r w:rsidRPr="2D766036">
              <w:rPr>
                <w:lang w:val="fr-FR"/>
              </w:rPr>
              <w:t>((</w:t>
            </w:r>
            <w:r w:rsidR="68367643" w:rsidRPr="2D766036">
              <w:rPr>
                <w:lang w:val="fr-FR"/>
              </w:rPr>
              <w:t>330</w:t>
            </w:r>
            <w:r w:rsidR="00D14983" w:rsidRPr="2D766036">
              <w:rPr>
                <w:lang w:val="fr-FR"/>
              </w:rPr>
              <w:t>,00</w:t>
            </w:r>
            <w:r w:rsidRPr="2D766036">
              <w:rPr>
                <w:lang w:val="fr-FR"/>
              </w:rPr>
              <w:t xml:space="preserve">+ </w:t>
            </w:r>
            <w:r w:rsidR="00D14983" w:rsidRPr="2D766036">
              <w:rPr>
                <w:lang w:val="fr-FR"/>
              </w:rPr>
              <w:t>21</w:t>
            </w:r>
            <w:r w:rsidRPr="2D766036">
              <w:rPr>
                <w:lang w:val="fr-FR"/>
              </w:rPr>
              <w:t>,50 % de €</w:t>
            </w:r>
            <w:r w:rsidR="00D14983" w:rsidRPr="2D766036">
              <w:rPr>
                <w:lang w:val="fr-FR"/>
              </w:rPr>
              <w:t>(5.000-</w:t>
            </w:r>
            <w:r w:rsidR="78FA028A" w:rsidRPr="2D766036">
              <w:rPr>
                <w:lang w:val="fr-FR"/>
              </w:rPr>
              <w:t>1.190</w:t>
            </w:r>
            <w:r w:rsidRPr="2D766036">
              <w:rPr>
                <w:lang w:val="fr-FR"/>
              </w:rPr>
              <w:t xml:space="preserve"> x12</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3455BA" w14:textId="15183E46" w:rsidR="00A84CC6" w:rsidRPr="002B1478" w:rsidRDefault="00A84CC6" w:rsidP="00971FE8">
            <w:pPr>
              <w:rPr>
                <w:lang w:val="fr-BE"/>
              </w:rPr>
            </w:pPr>
            <w:r>
              <w:rPr>
                <w:lang w:val="fr-FR"/>
              </w:rPr>
              <w:t>-</w:t>
            </w:r>
            <w:r w:rsidR="008F0DA1">
              <w:rPr>
                <w:lang w:val="fr-FR"/>
              </w:rPr>
              <w:t>10.290,08</w:t>
            </w:r>
          </w:p>
        </w:tc>
      </w:tr>
      <w:tr w:rsidR="00A84CC6" w:rsidRPr="00F53725" w14:paraId="624D8103" w14:textId="77777777" w:rsidTr="2D766036">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0F6ED1B9" w14:textId="77777777" w:rsidR="00A84CC6" w:rsidRDefault="00A84CC6" w:rsidP="000773E8">
            <w:pPr>
              <w:rPr>
                <w:rFonts w:ascii="Calibri" w:hAnsi="Calibri" w:cs="Calibri"/>
                <w:color w:val="000000"/>
                <w:lang w:val="fr-FR"/>
              </w:rPr>
            </w:pPr>
            <w:r>
              <w:rPr>
                <w:lang w:val="fr-FR"/>
              </w:rPr>
              <w:t>Imposable brut</w:t>
            </w:r>
          </w:p>
        </w:tc>
        <w:tc>
          <w:tcPr>
            <w:tcW w:w="3775" w:type="dxa"/>
            <w:tcBorders>
              <w:top w:val="single" w:sz="4" w:space="0" w:color="000000" w:themeColor="text1"/>
              <w:left w:val="single" w:sz="4" w:space="0" w:color="000000" w:themeColor="text1"/>
              <w:bottom w:val="single" w:sz="4" w:space="0" w:color="000000" w:themeColor="text1"/>
            </w:tcBorders>
            <w:shd w:val="clear" w:color="auto" w:fill="auto"/>
          </w:tcPr>
          <w:p w14:paraId="29706466" w14:textId="0C6E6E32" w:rsidR="00A84CC6" w:rsidRDefault="2D1828DC" w:rsidP="003D2D14">
            <w:pPr>
              <w:spacing w:after="0"/>
              <w:rPr>
                <w:rFonts w:ascii="Calibri" w:hAnsi="Calibri" w:cs="Calibri"/>
                <w:color w:val="000000" w:themeColor="text1"/>
                <w:lang w:val="fr-FR"/>
              </w:rPr>
            </w:pPr>
            <w:r w:rsidRPr="2D766036">
              <w:rPr>
                <w:rFonts w:ascii="Calibri" w:hAnsi="Calibri" w:cs="Calibri"/>
                <w:color w:val="000000" w:themeColor="text1"/>
                <w:lang w:val="fr-FR"/>
              </w:rPr>
              <w:t>46.210,40</w:t>
            </w:r>
          </w:p>
          <w:p w14:paraId="57C86DC0" w14:textId="77777777" w:rsidR="00A84CC6" w:rsidRDefault="00A84CC6" w:rsidP="000773E8">
            <w:pPr>
              <w:rPr>
                <w:lang w:val="fr-FR"/>
              </w:rPr>
            </w:pP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2750A4" w14:textId="1E0BB71E" w:rsidR="00A84CC6" w:rsidRPr="002B1478" w:rsidRDefault="008F0DA1" w:rsidP="000773E8">
            <w:pPr>
              <w:rPr>
                <w:lang w:val="fr-BE"/>
              </w:rPr>
            </w:pPr>
            <w:r>
              <w:rPr>
                <w:lang w:val="fr-FR"/>
              </w:rPr>
              <w:t>49.709,92</w:t>
            </w:r>
          </w:p>
        </w:tc>
      </w:tr>
      <w:tr w:rsidR="00A84CC6" w:rsidRPr="006C0E2C" w14:paraId="381621C4" w14:textId="77777777" w:rsidTr="2D766036">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525B3D56" w14:textId="351A88B7" w:rsidR="00A84CC6" w:rsidRPr="00596F57" w:rsidRDefault="00A84CC6" w:rsidP="00D76792">
            <w:pPr>
              <w:rPr>
                <w:lang w:val="fr-FR"/>
              </w:rPr>
            </w:pPr>
            <w:r w:rsidRPr="2D766036">
              <w:rPr>
                <w:lang w:val="fr-FR"/>
              </w:rPr>
              <w:t xml:space="preserve">Frais professionnels </w:t>
            </w:r>
            <w:r w:rsidRPr="003D2D14">
              <w:rPr>
                <w:lang w:val="fr-FR"/>
              </w:rPr>
              <w:br/>
            </w:r>
            <w:r w:rsidRPr="2D766036">
              <w:rPr>
                <w:lang w:val="fr-FR"/>
              </w:rPr>
              <w:t xml:space="preserve">(3 % plafonné à 2.490) Base exercice d’imposition </w:t>
            </w:r>
            <w:r w:rsidR="00D76792">
              <w:rPr>
                <w:lang w:val="fr-FR"/>
              </w:rPr>
              <w:t xml:space="preserve">2021 </w:t>
            </w:r>
            <w:r w:rsidRPr="2D766036">
              <w:rPr>
                <w:lang w:val="fr-FR"/>
              </w:rPr>
              <w:t xml:space="preserve">revenus </w:t>
            </w:r>
            <w:r w:rsidR="00002199">
              <w:rPr>
                <w:lang w:val="fr-FR"/>
              </w:rPr>
              <w:t>2020</w:t>
            </w:r>
          </w:p>
        </w:tc>
        <w:tc>
          <w:tcPr>
            <w:tcW w:w="3775" w:type="dxa"/>
            <w:tcBorders>
              <w:top w:val="single" w:sz="4" w:space="0" w:color="000000" w:themeColor="text1"/>
              <w:left w:val="single" w:sz="4" w:space="0" w:color="000000" w:themeColor="text1"/>
              <w:bottom w:val="single" w:sz="4" w:space="0" w:color="000000" w:themeColor="text1"/>
            </w:tcBorders>
            <w:shd w:val="clear" w:color="auto" w:fill="auto"/>
          </w:tcPr>
          <w:p w14:paraId="114CDFA4" w14:textId="77777777" w:rsidR="00A84CC6" w:rsidRDefault="00A84CC6" w:rsidP="000773E8">
            <w:pPr>
              <w:snapToGrid w:val="0"/>
              <w:rPr>
                <w:shd w:val="clear" w:color="auto" w:fill="FFFF00"/>
                <w:lang w:val="fr-FR"/>
              </w:rPr>
            </w:pP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2C506C" w14:textId="2840F1ED" w:rsidR="00A84CC6" w:rsidRPr="002B1478" w:rsidRDefault="00003C8A" w:rsidP="00971FE8">
            <w:pPr>
              <w:rPr>
                <w:lang w:val="fr-BE"/>
              </w:rPr>
            </w:pPr>
            <w:r>
              <w:rPr>
                <w:lang w:val="fr-FR"/>
              </w:rPr>
              <w:t>1.</w:t>
            </w:r>
            <w:r w:rsidR="008F0DA1">
              <w:rPr>
                <w:lang w:val="fr-FR"/>
              </w:rPr>
              <w:t>491,30</w:t>
            </w:r>
            <w:r w:rsidR="00971FE8">
              <w:rPr>
                <w:lang w:val="fr-FR"/>
              </w:rPr>
              <w:t xml:space="preserve"> </w:t>
            </w:r>
          </w:p>
        </w:tc>
      </w:tr>
      <w:tr w:rsidR="00A84CC6" w:rsidRPr="006C0E2C" w14:paraId="43370303" w14:textId="77777777" w:rsidTr="2D766036">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441A3093" w14:textId="77777777" w:rsidR="00A84CC6" w:rsidRDefault="00A84CC6" w:rsidP="000773E8">
            <w:pPr>
              <w:rPr>
                <w:lang w:val="fr-FR"/>
              </w:rPr>
            </w:pPr>
            <w:r>
              <w:rPr>
                <w:lang w:val="fr-FR"/>
              </w:rPr>
              <w:t>Imposable net</w:t>
            </w:r>
          </w:p>
        </w:tc>
        <w:tc>
          <w:tcPr>
            <w:tcW w:w="3775" w:type="dxa"/>
            <w:tcBorders>
              <w:top w:val="single" w:sz="4" w:space="0" w:color="000000" w:themeColor="text1"/>
              <w:left w:val="single" w:sz="4" w:space="0" w:color="000000" w:themeColor="text1"/>
              <w:bottom w:val="single" w:sz="4" w:space="0" w:color="000000" w:themeColor="text1"/>
            </w:tcBorders>
            <w:shd w:val="clear" w:color="auto" w:fill="auto"/>
          </w:tcPr>
          <w:p w14:paraId="3BC63F1C" w14:textId="77777777" w:rsidR="00A84CC6" w:rsidRDefault="00A84CC6" w:rsidP="000773E8">
            <w:pPr>
              <w:snapToGrid w:val="0"/>
              <w:rPr>
                <w:lang w:val="fr-FR"/>
              </w:rPr>
            </w:pP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6FE87E" w14:textId="5E8DC758" w:rsidR="00A84CC6" w:rsidRPr="002B1478" w:rsidRDefault="00971FE8" w:rsidP="00003C8A">
            <w:pPr>
              <w:rPr>
                <w:lang w:val="fr-BE"/>
              </w:rPr>
            </w:pPr>
            <w:r>
              <w:rPr>
                <w:rFonts w:ascii="Calibri" w:hAnsi="Calibri" w:cs="Calibri"/>
                <w:color w:val="000000"/>
                <w:lang w:val="fr-FR"/>
              </w:rPr>
              <w:t xml:space="preserve"> </w:t>
            </w:r>
            <w:r w:rsidR="008F0DA1">
              <w:rPr>
                <w:rFonts w:ascii="Calibri" w:hAnsi="Calibri" w:cs="Calibri"/>
                <w:color w:val="000000"/>
                <w:lang w:val="fr-FR"/>
              </w:rPr>
              <w:t>48.218,62</w:t>
            </w:r>
          </w:p>
        </w:tc>
      </w:tr>
      <w:tr w:rsidR="00A84CC6" w:rsidRPr="003D1461" w14:paraId="0C75821B" w14:textId="77777777" w:rsidTr="2D766036">
        <w:trPr>
          <w:trHeight w:val="466"/>
        </w:trPr>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307B70BE" w14:textId="44D62F88" w:rsidR="00A84CC6" w:rsidRDefault="00A84CC6" w:rsidP="000773E8">
            <w:pPr>
              <w:rPr>
                <w:lang w:val="fr-FR"/>
              </w:rPr>
            </w:pPr>
            <w:r>
              <w:rPr>
                <w:lang w:val="fr-FR"/>
              </w:rPr>
              <w:t>Précompte (barème)</w:t>
            </w:r>
            <w:r w:rsidR="00336A5B">
              <w:rPr>
                <w:lang w:val="fr-FR"/>
              </w:rPr>
              <w:t xml:space="preserve"> </w:t>
            </w:r>
            <w:r w:rsidR="00556ECE">
              <w:rPr>
                <w:lang w:val="fr-FR"/>
              </w:rPr>
              <w:t xml:space="preserve">2020 </w:t>
            </w:r>
            <w:r>
              <w:rPr>
                <w:lang w:val="fr-FR"/>
              </w:rPr>
              <w:t>ou impôt</w:t>
            </w:r>
            <w:r w:rsidR="00336A5B">
              <w:rPr>
                <w:lang w:val="fr-FR"/>
              </w:rPr>
              <w:t xml:space="preserve">  </w:t>
            </w:r>
            <w:r w:rsidR="00556ECE">
              <w:rPr>
                <w:lang w:val="fr-FR"/>
              </w:rPr>
              <w:t>2021</w:t>
            </w:r>
            <w:r w:rsidR="00336A5B">
              <w:rPr>
                <w:lang w:val="fr-FR"/>
              </w:rPr>
              <w:t xml:space="preserve">) </w:t>
            </w:r>
          </w:p>
        </w:tc>
        <w:tc>
          <w:tcPr>
            <w:tcW w:w="3775" w:type="dxa"/>
            <w:tcBorders>
              <w:top w:val="single" w:sz="4" w:space="0" w:color="000000" w:themeColor="text1"/>
              <w:left w:val="single" w:sz="4" w:space="0" w:color="000000" w:themeColor="text1"/>
              <w:bottom w:val="single" w:sz="4" w:space="0" w:color="000000" w:themeColor="text1"/>
            </w:tcBorders>
            <w:shd w:val="clear" w:color="auto" w:fill="auto"/>
          </w:tcPr>
          <w:p w14:paraId="5D17740B" w14:textId="69173AB2" w:rsidR="00A84CC6" w:rsidRDefault="00A84CC6" w:rsidP="00C00406">
            <w:pPr>
              <w:rPr>
                <w:lang w:val="fr-FR"/>
              </w:rPr>
            </w:pPr>
            <w:r>
              <w:rPr>
                <w:lang w:val="fr-FR"/>
              </w:rPr>
              <w:t>-</w:t>
            </w:r>
            <w:r w:rsidR="00B0255F">
              <w:rPr>
                <w:lang w:val="fr-FR"/>
              </w:rPr>
              <w:t>16</w:t>
            </w:r>
            <w:r w:rsidR="000F2C92">
              <w:rPr>
                <w:lang w:val="fr-FR"/>
              </w:rPr>
              <w:t>.146,48</w:t>
            </w:r>
            <w:r>
              <w:rPr>
                <w:lang w:val="fr-FR"/>
              </w:rPr>
              <w:t xml:space="preserve"> ((</w:t>
            </w:r>
            <w:r w:rsidR="00A013A6">
              <w:rPr>
                <w:lang w:val="fr-FR"/>
              </w:rPr>
              <w:t>1.371,54</w:t>
            </w:r>
            <w:r w:rsidR="009B0529">
              <w:rPr>
                <w:lang w:val="fr-FR"/>
              </w:rPr>
              <w:t xml:space="preserve"> </w:t>
            </w:r>
            <w:r w:rsidR="00661814">
              <w:rPr>
                <w:lang w:val="fr-FR"/>
              </w:rPr>
              <w:t>—-</w:t>
            </w:r>
            <w:r w:rsidR="00B44968">
              <w:rPr>
                <w:lang w:val="fr-FR"/>
              </w:rPr>
              <w:t>26</w:t>
            </w:r>
            <w:r>
              <w:rPr>
                <w:lang w:val="fr-FR"/>
              </w:rPr>
              <w:t xml:space="preserve">)*12) </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A0FD06" w14:textId="023DAF80" w:rsidR="00A84CC6" w:rsidRPr="00410FDF" w:rsidRDefault="00A84CC6" w:rsidP="000773E8">
            <w:pPr>
              <w:rPr>
                <w:lang w:val="fr-FR"/>
              </w:rPr>
            </w:pPr>
            <w:r w:rsidRPr="000768A3">
              <w:rPr>
                <w:lang w:val="fr-FR"/>
              </w:rPr>
              <w:t>-</w:t>
            </w:r>
            <w:r w:rsidR="008F0DA1">
              <w:rPr>
                <w:lang w:val="fr-FR"/>
              </w:rPr>
              <w:t>17.966,81</w:t>
            </w:r>
          </w:p>
          <w:p w14:paraId="67CBB1EB" w14:textId="77777777" w:rsidR="00A84CC6" w:rsidRPr="00C20251" w:rsidRDefault="00A84CC6" w:rsidP="000773E8">
            <w:pPr>
              <w:rPr>
                <w:highlight w:val="yellow"/>
                <w:lang w:val="fr-FR"/>
              </w:rPr>
            </w:pPr>
          </w:p>
        </w:tc>
      </w:tr>
      <w:tr w:rsidR="00A84CC6" w:rsidRPr="003D1461" w14:paraId="73FD0F64" w14:textId="77777777" w:rsidTr="2D766036">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130CF158" w14:textId="77777777" w:rsidR="00A84CC6" w:rsidRDefault="00A84CC6" w:rsidP="000773E8">
            <w:pPr>
              <w:rPr>
                <w:lang w:val="fr-FR"/>
              </w:rPr>
            </w:pPr>
            <w:r>
              <w:rPr>
                <w:lang w:val="fr-FR"/>
              </w:rPr>
              <w:t xml:space="preserve">Net </w:t>
            </w:r>
          </w:p>
        </w:tc>
        <w:tc>
          <w:tcPr>
            <w:tcW w:w="3775" w:type="dxa"/>
            <w:tcBorders>
              <w:top w:val="single" w:sz="4" w:space="0" w:color="000000" w:themeColor="text1"/>
              <w:left w:val="single" w:sz="4" w:space="0" w:color="000000" w:themeColor="text1"/>
              <w:bottom w:val="single" w:sz="4" w:space="0" w:color="000000" w:themeColor="text1"/>
            </w:tcBorders>
            <w:shd w:val="clear" w:color="auto" w:fill="auto"/>
          </w:tcPr>
          <w:p w14:paraId="729384E6" w14:textId="46B0500D" w:rsidR="00A84CC6" w:rsidRDefault="009915A7" w:rsidP="000773E8">
            <w:pPr>
              <w:rPr>
                <w:lang w:val="fr-FR"/>
              </w:rPr>
            </w:pPr>
            <w:r>
              <w:rPr>
                <w:lang w:val="fr-FR"/>
              </w:rPr>
              <w:t>43.853,</w:t>
            </w:r>
            <w:r w:rsidR="00914264">
              <w:rPr>
                <w:lang w:val="fr-FR"/>
              </w:rPr>
              <w:t>52</w:t>
            </w:r>
          </w:p>
          <w:p w14:paraId="205E53C8" w14:textId="77777777" w:rsidR="00A84CC6" w:rsidRDefault="00A84CC6" w:rsidP="000773E8">
            <w:pPr>
              <w:rPr>
                <w:rFonts w:ascii="Calibri" w:hAnsi="Calibri" w:cs="Calibri"/>
                <w:color w:val="000000"/>
                <w:lang w:val="fr-FR"/>
              </w:rPr>
            </w:pP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41E50D" w14:textId="7E48A0E9" w:rsidR="00A84CC6" w:rsidRPr="00C20251" w:rsidRDefault="00A9628E" w:rsidP="00A9628E">
            <w:pPr>
              <w:rPr>
                <w:highlight w:val="yellow"/>
                <w:lang w:val="fr-FR"/>
              </w:rPr>
            </w:pPr>
            <w:r>
              <w:rPr>
                <w:rFonts w:ascii="Calibri" w:hAnsi="Calibri" w:cs="Calibri"/>
                <w:color w:val="000000"/>
                <w:lang w:val="fr-FR"/>
              </w:rPr>
              <w:t>31.743,11</w:t>
            </w:r>
          </w:p>
        </w:tc>
      </w:tr>
      <w:tr w:rsidR="00A84CC6" w:rsidRPr="003D1461" w14:paraId="3FBAA70D" w14:textId="77777777" w:rsidTr="2D766036">
        <w:trPr>
          <w:trHeight w:val="1062"/>
        </w:trPr>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4E447034" w14:textId="77777777" w:rsidR="00A84CC6" w:rsidRDefault="00A84CC6" w:rsidP="000773E8">
            <w:pPr>
              <w:rPr>
                <w:lang w:val="fr-FR"/>
              </w:rPr>
            </w:pPr>
            <w:r>
              <w:rPr>
                <w:lang w:val="fr-FR"/>
              </w:rPr>
              <w:t>Cotisations sociales de travailleur indépendant réellement versées</w:t>
            </w:r>
          </w:p>
        </w:tc>
        <w:tc>
          <w:tcPr>
            <w:tcW w:w="3775" w:type="dxa"/>
            <w:tcBorders>
              <w:top w:val="single" w:sz="4" w:space="0" w:color="000000" w:themeColor="text1"/>
              <w:left w:val="single" w:sz="4" w:space="0" w:color="000000" w:themeColor="text1"/>
              <w:bottom w:val="single" w:sz="4" w:space="0" w:color="000000" w:themeColor="text1"/>
            </w:tcBorders>
            <w:shd w:val="clear" w:color="auto" w:fill="auto"/>
          </w:tcPr>
          <w:p w14:paraId="0ED93FAD" w14:textId="4FDD9044" w:rsidR="00003C8A" w:rsidRDefault="005D219A">
            <w:pPr>
              <w:rPr>
                <w:lang w:val="fr-FR"/>
              </w:rPr>
            </w:pPr>
            <w:r w:rsidRPr="002B1478">
              <w:rPr>
                <w:lang w:val="fr-FR"/>
              </w:rPr>
              <w:t>-</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6C7B15" w14:textId="77777777" w:rsidR="00A84CC6" w:rsidRPr="00C20251" w:rsidRDefault="00A84CC6" w:rsidP="000773E8">
            <w:pPr>
              <w:snapToGrid w:val="0"/>
              <w:rPr>
                <w:highlight w:val="yellow"/>
                <w:lang w:val="fr-FR"/>
              </w:rPr>
            </w:pPr>
          </w:p>
        </w:tc>
      </w:tr>
      <w:tr w:rsidR="00A84CC6" w14:paraId="7EC17CE0" w14:textId="77777777" w:rsidTr="2D766036">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76A77011" w14:textId="77777777" w:rsidR="00A84CC6" w:rsidRDefault="00A84CC6" w:rsidP="000773E8">
            <w:pPr>
              <w:rPr>
                <w:rFonts w:eastAsia="Arial"/>
                <w:lang w:val="fr-FR"/>
              </w:rPr>
            </w:pPr>
            <w:r>
              <w:rPr>
                <w:lang w:val="fr-FR"/>
              </w:rPr>
              <w:t>Net réel</w:t>
            </w:r>
          </w:p>
        </w:tc>
        <w:tc>
          <w:tcPr>
            <w:tcW w:w="3775" w:type="dxa"/>
            <w:tcBorders>
              <w:top w:val="single" w:sz="4" w:space="0" w:color="000000" w:themeColor="text1"/>
              <w:left w:val="single" w:sz="4" w:space="0" w:color="000000" w:themeColor="text1"/>
              <w:bottom w:val="single" w:sz="4" w:space="0" w:color="000000" w:themeColor="text1"/>
            </w:tcBorders>
            <w:shd w:val="clear" w:color="auto" w:fill="auto"/>
          </w:tcPr>
          <w:p w14:paraId="10832DEC" w14:textId="3F936044" w:rsidR="00A84CC6" w:rsidRDefault="008F0DA1" w:rsidP="00154A5A">
            <w:pPr>
              <w:rPr>
                <w:lang w:val="fr-FR"/>
              </w:rPr>
            </w:pPr>
            <w:r>
              <w:rPr>
                <w:rFonts w:eastAsia="Arial"/>
                <w:lang w:val="fr-FR"/>
              </w:rPr>
              <w:t>33.453,28</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856006" w14:textId="6A195794" w:rsidR="00971FE8" w:rsidRPr="002B1478" w:rsidRDefault="00971FE8" w:rsidP="000773E8">
            <w:pPr>
              <w:rPr>
                <w:rFonts w:eastAsia="Arial"/>
                <w:lang w:val="fr-FR"/>
              </w:rPr>
            </w:pPr>
            <w:r>
              <w:rPr>
                <w:rFonts w:eastAsia="Arial"/>
                <w:lang w:val="fr-FR"/>
              </w:rPr>
              <w:t>3</w:t>
            </w:r>
            <w:r w:rsidR="00F93CC7">
              <w:rPr>
                <w:rFonts w:eastAsia="Arial"/>
                <w:lang w:val="fr-FR"/>
              </w:rPr>
              <w:t>1.743,11</w:t>
            </w:r>
          </w:p>
        </w:tc>
      </w:tr>
      <w:tr w:rsidR="00A84CC6" w14:paraId="2A4C3479" w14:textId="77777777" w:rsidTr="2D766036">
        <w:tc>
          <w:tcPr>
            <w:tcW w:w="2509" w:type="dxa"/>
            <w:tcBorders>
              <w:top w:val="single" w:sz="4" w:space="0" w:color="000000" w:themeColor="text1"/>
              <w:left w:val="single" w:sz="4" w:space="0" w:color="000000" w:themeColor="text1"/>
              <w:bottom w:val="single" w:sz="4" w:space="0" w:color="000000" w:themeColor="text1"/>
            </w:tcBorders>
            <w:shd w:val="clear" w:color="auto" w:fill="auto"/>
          </w:tcPr>
          <w:p w14:paraId="5FE08E24" w14:textId="77777777" w:rsidR="00A84CC6" w:rsidRDefault="00A84CC6" w:rsidP="000773E8">
            <w:pPr>
              <w:rPr>
                <w:rFonts w:eastAsia="Arial"/>
                <w:b/>
                <w:lang w:val="fr-FR"/>
              </w:rPr>
            </w:pPr>
            <w:r>
              <w:rPr>
                <w:lang w:val="fr-FR"/>
              </w:rPr>
              <w:t>Différence à payer</w:t>
            </w:r>
          </w:p>
        </w:tc>
        <w:tc>
          <w:tcPr>
            <w:tcW w:w="67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B9E327" w14:textId="366D49DA" w:rsidR="00A84CC6" w:rsidRDefault="00A9628E" w:rsidP="00DF0F7E">
            <w:pPr>
              <w:jc w:val="center"/>
              <w:rPr>
                <w:b/>
                <w:lang w:val="fr-FR"/>
              </w:rPr>
            </w:pPr>
            <w:r>
              <w:rPr>
                <w:b/>
                <w:bCs/>
                <w:lang w:val="fr-FR"/>
              </w:rPr>
              <w:t>1.710,17</w:t>
            </w:r>
            <w:r w:rsidR="00A84CC6" w:rsidRPr="000768A3">
              <w:rPr>
                <w:b/>
                <w:bCs/>
                <w:lang w:val="fr-FR"/>
              </w:rPr>
              <w:t xml:space="preserve"> </w:t>
            </w:r>
            <w:r w:rsidR="00DF0F7E">
              <w:rPr>
                <w:b/>
                <w:bCs/>
                <w:lang w:val="fr-FR"/>
              </w:rPr>
              <w:t>€</w:t>
            </w:r>
          </w:p>
        </w:tc>
      </w:tr>
    </w:tbl>
    <w:p w14:paraId="4885CF9D" w14:textId="77777777" w:rsidR="00A84CC6" w:rsidRDefault="00A84CC6" w:rsidP="00147B1E">
      <w:pPr>
        <w:pStyle w:val="HIFTitre3"/>
      </w:pPr>
    </w:p>
    <w:sectPr w:rsidR="00A84CC6">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823A2" w14:textId="77777777" w:rsidR="00F85279" w:rsidRDefault="00F85279" w:rsidP="00370459">
      <w:pPr>
        <w:spacing w:after="0" w:line="240" w:lineRule="auto"/>
      </w:pPr>
      <w:r>
        <w:separator/>
      </w:r>
    </w:p>
  </w:endnote>
  <w:endnote w:type="continuationSeparator" w:id="0">
    <w:p w14:paraId="27C9D780" w14:textId="77777777" w:rsidR="00F85279" w:rsidRDefault="00F85279" w:rsidP="0037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02" w:type="dxa"/>
      <w:tblLayout w:type="fixed"/>
      <w:tblLook w:val="00A0" w:firstRow="1" w:lastRow="0" w:firstColumn="1" w:lastColumn="0" w:noHBand="0" w:noVBand="0"/>
    </w:tblPr>
    <w:tblGrid>
      <w:gridCol w:w="2153"/>
      <w:gridCol w:w="7149"/>
    </w:tblGrid>
    <w:tr w:rsidR="006E1A74" w:rsidRPr="003D2D14" w14:paraId="73456D35" w14:textId="77777777" w:rsidTr="2D766036">
      <w:trPr>
        <w:trHeight w:val="584"/>
      </w:trPr>
      <w:tc>
        <w:tcPr>
          <w:tcW w:w="2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AD4B9A" w14:textId="77777777" w:rsidR="006E1A74" w:rsidRPr="00926E91" w:rsidRDefault="006E1A74" w:rsidP="006E1A74">
          <w:pPr>
            <w:tabs>
              <w:tab w:val="left" w:pos="-906"/>
              <w:tab w:val="left" w:pos="4905"/>
              <w:tab w:val="left" w:pos="7457"/>
            </w:tabs>
            <w:autoSpaceDE w:val="0"/>
            <w:autoSpaceDN w:val="0"/>
            <w:adjustRightInd w:val="0"/>
            <w:spacing w:before="120" w:after="240" w:line="240" w:lineRule="auto"/>
            <w:rPr>
              <w:rFonts w:ascii="Arial" w:hAnsi="Arial" w:cs="Arial"/>
              <w:color w:val="000000"/>
              <w:sz w:val="16"/>
              <w:szCs w:val="16"/>
            </w:rPr>
          </w:pPr>
          <w:r>
            <w:rPr>
              <w:rFonts w:ascii="Arial" w:hAnsi="Arial" w:cs="Arial"/>
              <w:noProof/>
              <w:color w:val="000000"/>
              <w:sz w:val="16"/>
              <w:szCs w:val="16"/>
              <w:lang w:val="nl-BE" w:eastAsia="nl-BE"/>
            </w:rPr>
            <w:drawing>
              <wp:inline distT="0" distB="0" distL="0" distR="0" wp14:anchorId="52A78E89" wp14:editId="01140241">
                <wp:extent cx="11811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181100" cy="228600"/>
                        </a:xfrm>
                        <a:prstGeom prst="rect">
                          <a:avLst/>
                        </a:prstGeom>
                        <a:noFill/>
                        <a:ln w="9525">
                          <a:noFill/>
                          <a:miter lim="800000"/>
                          <a:headEnd/>
                          <a:tailEnd/>
                        </a:ln>
                      </pic:spPr>
                    </pic:pic>
                  </a:graphicData>
                </a:graphic>
              </wp:inline>
            </w:drawing>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3A188E" w14:textId="77777777" w:rsidR="006E1A74" w:rsidRPr="00926E91" w:rsidRDefault="006E1A74" w:rsidP="006E1A74">
          <w:pPr>
            <w:autoSpaceDE w:val="0"/>
            <w:autoSpaceDN w:val="0"/>
            <w:adjustRightInd w:val="0"/>
            <w:spacing w:after="0" w:line="240" w:lineRule="auto"/>
            <w:rPr>
              <w:rFonts w:ascii="Arial" w:hAnsi="Arial" w:cs="Arial"/>
              <w:color w:val="000000"/>
              <w:sz w:val="16"/>
              <w:szCs w:val="16"/>
            </w:rPr>
          </w:pPr>
        </w:p>
        <w:p w14:paraId="53CCCF9C" w14:textId="5DA1E64C" w:rsidR="006E1A74" w:rsidRPr="003D2D14" w:rsidRDefault="001E5D99" w:rsidP="004D008A">
          <w:pPr>
            <w:autoSpaceDE w:val="0"/>
            <w:autoSpaceDN w:val="0"/>
            <w:adjustRightInd w:val="0"/>
            <w:spacing w:after="240" w:line="240" w:lineRule="auto"/>
            <w:rPr>
              <w:rFonts w:ascii="Arial" w:hAnsi="Arial" w:cs="Arial"/>
              <w:color w:val="000000"/>
              <w:sz w:val="16"/>
              <w:szCs w:val="16"/>
              <w:lang w:val="fr-FR"/>
            </w:rPr>
          </w:pPr>
          <w:r w:rsidRPr="00596F57">
            <w:rPr>
              <w:rFonts w:ascii="Arial" w:hAnsi="Arial" w:cs="Arial"/>
              <w:color w:val="000000"/>
              <w:sz w:val="16"/>
              <w:szCs w:val="16"/>
              <w:lang w:val="fr-BE"/>
            </w:rPr>
            <w:t xml:space="preserve">Cette information a été rédigée par le Legal </w:t>
          </w:r>
          <w:proofErr w:type="spellStart"/>
          <w:r w:rsidRPr="00596F57">
            <w:rPr>
              <w:rFonts w:ascii="Arial" w:hAnsi="Arial" w:cs="Arial"/>
              <w:color w:val="000000"/>
              <w:sz w:val="16"/>
              <w:szCs w:val="16"/>
              <w:lang w:val="fr-BE"/>
            </w:rPr>
            <w:t>Department</w:t>
          </w:r>
          <w:proofErr w:type="spellEnd"/>
          <w:r w:rsidRPr="00596F57">
            <w:rPr>
              <w:rFonts w:ascii="Arial" w:hAnsi="Arial" w:cs="Arial"/>
              <w:color w:val="000000"/>
              <w:sz w:val="16"/>
              <w:szCs w:val="16"/>
              <w:lang w:val="fr-BE"/>
            </w:rPr>
            <w:t xml:space="preserve"> du </w:t>
          </w:r>
          <w:proofErr w:type="spellStart"/>
          <w:r w:rsidRPr="00596F57">
            <w:rPr>
              <w:rFonts w:ascii="Arial" w:hAnsi="Arial" w:cs="Arial"/>
              <w:color w:val="000000"/>
              <w:sz w:val="16"/>
              <w:szCs w:val="16"/>
              <w:lang w:val="fr-BE"/>
            </w:rPr>
            <w:t>Secrétarit</w:t>
          </w:r>
          <w:proofErr w:type="spellEnd"/>
          <w:r w:rsidRPr="00596F57">
            <w:rPr>
              <w:rFonts w:ascii="Arial" w:hAnsi="Arial" w:cs="Arial"/>
              <w:color w:val="000000"/>
              <w:sz w:val="16"/>
              <w:szCs w:val="16"/>
              <w:lang w:val="fr-BE"/>
            </w:rPr>
            <w:t xml:space="preserve"> Social Securex – 01.01.</w:t>
          </w:r>
          <w:r w:rsidR="008802E7">
            <w:rPr>
              <w:rFonts w:ascii="Arial" w:hAnsi="Arial" w:cs="Arial"/>
              <w:color w:val="000000"/>
              <w:sz w:val="16"/>
              <w:szCs w:val="16"/>
              <w:lang w:val="fr-BE"/>
            </w:rPr>
            <w:t>2020</w:t>
          </w:r>
          <w:r w:rsidRPr="00596F57">
            <w:rPr>
              <w:rFonts w:ascii="Arial" w:hAnsi="Arial" w:cs="Arial"/>
              <w:color w:val="000000"/>
              <w:sz w:val="16"/>
              <w:szCs w:val="16"/>
              <w:lang w:val="fr-BE"/>
            </w:rPr>
            <w:t xml:space="preserve">. </w:t>
          </w:r>
          <w:r w:rsidRPr="001E5D99">
            <w:rPr>
              <w:rFonts w:ascii="Arial" w:hAnsi="Arial" w:cs="Arial"/>
              <w:color w:val="000000"/>
              <w:sz w:val="16"/>
              <w:szCs w:val="16"/>
              <w:lang w:val="fr-BE"/>
            </w:rPr>
            <w:t xml:space="preserve">Le document peut uniquement </w:t>
          </w:r>
          <w:r w:rsidRPr="00596F57">
            <w:rPr>
              <w:rFonts w:ascii="Arial" w:hAnsi="Arial" w:cs="Arial"/>
              <w:color w:val="000000"/>
              <w:sz w:val="16"/>
              <w:szCs w:val="16"/>
              <w:lang w:val="fr-BE"/>
            </w:rPr>
            <w:t>être utilisé en interne dans votre entreprise.</w:t>
          </w:r>
        </w:p>
      </w:tc>
    </w:tr>
  </w:tbl>
  <w:p w14:paraId="497B8CC7" w14:textId="77777777" w:rsidR="00370459" w:rsidRPr="003D2D14" w:rsidRDefault="00370459">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8DC59" w14:textId="77777777" w:rsidR="00F85279" w:rsidRDefault="00F85279" w:rsidP="00370459">
      <w:pPr>
        <w:spacing w:after="0" w:line="240" w:lineRule="auto"/>
      </w:pPr>
      <w:r>
        <w:separator/>
      </w:r>
    </w:p>
  </w:footnote>
  <w:footnote w:type="continuationSeparator" w:id="0">
    <w:p w14:paraId="01E8C455" w14:textId="77777777" w:rsidR="00F85279" w:rsidRDefault="00F85279" w:rsidP="00370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87AB" w14:textId="77777777" w:rsidR="006C06B0" w:rsidRDefault="003D2D14">
    <w:pPr>
      <w:pStyle w:val="Header"/>
    </w:pPr>
    <w:r>
      <w:rPr>
        <w:noProof/>
        <w:lang w:eastAsia="nl-NL"/>
      </w:rPr>
      <w:pict w14:anchorId="14624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8964" o:spid="_x0000_s2050" type="#_x0000_t75" style="position:absolute;margin-left:0;margin-top:0;width:453.55pt;height:183.0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8113" w14:textId="77777777" w:rsidR="004D008A" w:rsidRDefault="003D2D14">
    <w:pPr>
      <w:pStyle w:val="Header"/>
    </w:pPr>
    <w:r>
      <w:rPr>
        <w:noProof/>
        <w:lang w:eastAsia="nl-NL"/>
      </w:rPr>
      <w:pict w14:anchorId="02358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8965" o:spid="_x0000_s2051" type="#_x0000_t75" style="position:absolute;margin-left:0;margin-top:0;width:453.55pt;height:183.0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3617" w14:textId="77777777" w:rsidR="006C06B0" w:rsidRDefault="003D2D14">
    <w:pPr>
      <w:pStyle w:val="Header"/>
    </w:pPr>
    <w:r>
      <w:rPr>
        <w:noProof/>
        <w:lang w:eastAsia="nl-NL"/>
      </w:rPr>
      <w:pict w14:anchorId="26FBE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8963" o:spid="_x0000_s2049" type="#_x0000_t75" style="position:absolute;margin-left:0;margin-top:0;width:453.55pt;height:183.0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5"/>
    <w:lvl w:ilvl="0">
      <w:start w:val="1"/>
      <w:numFmt w:val="upperLetter"/>
      <w:lvlText w:val="%1."/>
      <w:lvlJc w:val="left"/>
      <w:pPr>
        <w:tabs>
          <w:tab w:val="num" w:pos="0"/>
        </w:tabs>
        <w:ind w:left="720" w:hanging="360"/>
      </w:pPr>
      <w:rPr>
        <w:b/>
      </w:rPr>
    </w:lvl>
  </w:abstractNum>
  <w:abstractNum w:abstractNumId="1" w15:restartNumberingAfterBreak="0">
    <w:nsid w:val="298811BB"/>
    <w:multiLevelType w:val="hybridMultilevel"/>
    <w:tmpl w:val="8F0E6FBC"/>
    <w:lvl w:ilvl="0" w:tplc="540CD6E4">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BC70D9D"/>
    <w:multiLevelType w:val="hybridMultilevel"/>
    <w:tmpl w:val="ED22F9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62416D8"/>
    <w:multiLevelType w:val="hybridMultilevel"/>
    <w:tmpl w:val="A14C8C68"/>
    <w:lvl w:ilvl="0" w:tplc="0B261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E16D1"/>
    <w:multiLevelType w:val="hybridMultilevel"/>
    <w:tmpl w:val="4C0240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42"/>
    <w:rsid w:val="00002199"/>
    <w:rsid w:val="00003C8A"/>
    <w:rsid w:val="00013215"/>
    <w:rsid w:val="000A1906"/>
    <w:rsid w:val="000D2165"/>
    <w:rsid w:val="000E4788"/>
    <w:rsid w:val="000F2C92"/>
    <w:rsid w:val="00120C92"/>
    <w:rsid w:val="00123F6D"/>
    <w:rsid w:val="001329C6"/>
    <w:rsid w:val="00141E95"/>
    <w:rsid w:val="00147B1E"/>
    <w:rsid w:val="00154A5A"/>
    <w:rsid w:val="001E2031"/>
    <w:rsid w:val="001E5D99"/>
    <w:rsid w:val="00233B79"/>
    <w:rsid w:val="002421E2"/>
    <w:rsid w:val="00283D54"/>
    <w:rsid w:val="0029596A"/>
    <w:rsid w:val="002B1478"/>
    <w:rsid w:val="002D3923"/>
    <w:rsid w:val="002D4DEB"/>
    <w:rsid w:val="002F11A3"/>
    <w:rsid w:val="00336A5B"/>
    <w:rsid w:val="00342B18"/>
    <w:rsid w:val="00350406"/>
    <w:rsid w:val="00370459"/>
    <w:rsid w:val="003A245E"/>
    <w:rsid w:val="003C74BB"/>
    <w:rsid w:val="003C7B47"/>
    <w:rsid w:val="003D1461"/>
    <w:rsid w:val="003D2D14"/>
    <w:rsid w:val="003F4F6B"/>
    <w:rsid w:val="00467FDC"/>
    <w:rsid w:val="00496542"/>
    <w:rsid w:val="00497BE8"/>
    <w:rsid w:val="004C0AE0"/>
    <w:rsid w:val="004D008A"/>
    <w:rsid w:val="005055C8"/>
    <w:rsid w:val="00543F81"/>
    <w:rsid w:val="00556ECE"/>
    <w:rsid w:val="005607BA"/>
    <w:rsid w:val="00596F57"/>
    <w:rsid w:val="005D1C75"/>
    <w:rsid w:val="005D219A"/>
    <w:rsid w:val="00630259"/>
    <w:rsid w:val="00661814"/>
    <w:rsid w:val="006714BF"/>
    <w:rsid w:val="006721FC"/>
    <w:rsid w:val="006C06B0"/>
    <w:rsid w:val="006C0E2C"/>
    <w:rsid w:val="006C3515"/>
    <w:rsid w:val="006C6A50"/>
    <w:rsid w:val="006E1A74"/>
    <w:rsid w:val="006E3169"/>
    <w:rsid w:val="007147FF"/>
    <w:rsid w:val="007856FE"/>
    <w:rsid w:val="007A1310"/>
    <w:rsid w:val="0080492C"/>
    <w:rsid w:val="00807CC5"/>
    <w:rsid w:val="00817316"/>
    <w:rsid w:val="00843C39"/>
    <w:rsid w:val="008802E7"/>
    <w:rsid w:val="00897DE8"/>
    <w:rsid w:val="008C25EB"/>
    <w:rsid w:val="008F0DA1"/>
    <w:rsid w:val="00914264"/>
    <w:rsid w:val="00930D61"/>
    <w:rsid w:val="00955B0D"/>
    <w:rsid w:val="00960A2D"/>
    <w:rsid w:val="00971FE8"/>
    <w:rsid w:val="009915A7"/>
    <w:rsid w:val="009A6A1E"/>
    <w:rsid w:val="009B0529"/>
    <w:rsid w:val="009E15E3"/>
    <w:rsid w:val="00A013A6"/>
    <w:rsid w:val="00A300AC"/>
    <w:rsid w:val="00A67881"/>
    <w:rsid w:val="00A84CC6"/>
    <w:rsid w:val="00A90609"/>
    <w:rsid w:val="00A9628E"/>
    <w:rsid w:val="00B0255F"/>
    <w:rsid w:val="00B340E6"/>
    <w:rsid w:val="00B410CA"/>
    <w:rsid w:val="00B44968"/>
    <w:rsid w:val="00B57438"/>
    <w:rsid w:val="00B63867"/>
    <w:rsid w:val="00B84588"/>
    <w:rsid w:val="00BB575C"/>
    <w:rsid w:val="00BC28EA"/>
    <w:rsid w:val="00BC5689"/>
    <w:rsid w:val="00BE267D"/>
    <w:rsid w:val="00C00406"/>
    <w:rsid w:val="00C2D5FE"/>
    <w:rsid w:val="00C326DB"/>
    <w:rsid w:val="00C42423"/>
    <w:rsid w:val="00C427C5"/>
    <w:rsid w:val="00C57972"/>
    <w:rsid w:val="00C8DEC9"/>
    <w:rsid w:val="00D14983"/>
    <w:rsid w:val="00D22DC1"/>
    <w:rsid w:val="00D23244"/>
    <w:rsid w:val="00D30CC7"/>
    <w:rsid w:val="00D338DA"/>
    <w:rsid w:val="00D679D6"/>
    <w:rsid w:val="00D76792"/>
    <w:rsid w:val="00DB312D"/>
    <w:rsid w:val="00DC5C10"/>
    <w:rsid w:val="00DF0F7E"/>
    <w:rsid w:val="00E423FE"/>
    <w:rsid w:val="00EB3D61"/>
    <w:rsid w:val="00ED4E67"/>
    <w:rsid w:val="00F02DA2"/>
    <w:rsid w:val="00F120D7"/>
    <w:rsid w:val="00F23AE5"/>
    <w:rsid w:val="00F26E65"/>
    <w:rsid w:val="00F431B2"/>
    <w:rsid w:val="00F53725"/>
    <w:rsid w:val="00F703BC"/>
    <w:rsid w:val="00F84533"/>
    <w:rsid w:val="00F85279"/>
    <w:rsid w:val="00F93CC7"/>
    <w:rsid w:val="00F97261"/>
    <w:rsid w:val="00FD2A49"/>
    <w:rsid w:val="00FF8829"/>
    <w:rsid w:val="01033B96"/>
    <w:rsid w:val="022DE5F3"/>
    <w:rsid w:val="02649BFA"/>
    <w:rsid w:val="038539D4"/>
    <w:rsid w:val="0A488390"/>
    <w:rsid w:val="0A60B4C8"/>
    <w:rsid w:val="0AB92CAC"/>
    <w:rsid w:val="0B84B1B1"/>
    <w:rsid w:val="0D5CA313"/>
    <w:rsid w:val="0DB03199"/>
    <w:rsid w:val="0DF52B42"/>
    <w:rsid w:val="0F0EFF0C"/>
    <w:rsid w:val="0F7D0D56"/>
    <w:rsid w:val="11F23605"/>
    <w:rsid w:val="12BABC8F"/>
    <w:rsid w:val="14F75437"/>
    <w:rsid w:val="16F1B2A9"/>
    <w:rsid w:val="1A16B74D"/>
    <w:rsid w:val="1A528694"/>
    <w:rsid w:val="1FDA1BAA"/>
    <w:rsid w:val="2022B721"/>
    <w:rsid w:val="217A15A9"/>
    <w:rsid w:val="24122533"/>
    <w:rsid w:val="2739413E"/>
    <w:rsid w:val="27917EB3"/>
    <w:rsid w:val="2B7B401D"/>
    <w:rsid w:val="2BD3B07C"/>
    <w:rsid w:val="2BE612C4"/>
    <w:rsid w:val="2C349A8B"/>
    <w:rsid w:val="2D1828DC"/>
    <w:rsid w:val="2D2A9BE3"/>
    <w:rsid w:val="2D624EF2"/>
    <w:rsid w:val="2D766036"/>
    <w:rsid w:val="2F5FCF81"/>
    <w:rsid w:val="3006C637"/>
    <w:rsid w:val="3180416A"/>
    <w:rsid w:val="333B26ED"/>
    <w:rsid w:val="3362B815"/>
    <w:rsid w:val="37CD680F"/>
    <w:rsid w:val="37FE0271"/>
    <w:rsid w:val="388457FA"/>
    <w:rsid w:val="3BB5EEF3"/>
    <w:rsid w:val="3DAB6E5F"/>
    <w:rsid w:val="3E535EA1"/>
    <w:rsid w:val="3E6B6965"/>
    <w:rsid w:val="3F7A7DA8"/>
    <w:rsid w:val="40B256D3"/>
    <w:rsid w:val="40B40AC4"/>
    <w:rsid w:val="42A873A4"/>
    <w:rsid w:val="4426E136"/>
    <w:rsid w:val="44CA5FD5"/>
    <w:rsid w:val="45A36B04"/>
    <w:rsid w:val="493722E6"/>
    <w:rsid w:val="496283FF"/>
    <w:rsid w:val="4B198487"/>
    <w:rsid w:val="4C314A91"/>
    <w:rsid w:val="4D235D2D"/>
    <w:rsid w:val="4D63A5AE"/>
    <w:rsid w:val="4E05256E"/>
    <w:rsid w:val="4EB0B7DA"/>
    <w:rsid w:val="4EEC0F72"/>
    <w:rsid w:val="4F74030F"/>
    <w:rsid w:val="5132E618"/>
    <w:rsid w:val="52BC8912"/>
    <w:rsid w:val="5431CFFA"/>
    <w:rsid w:val="547C0763"/>
    <w:rsid w:val="548C5144"/>
    <w:rsid w:val="5635788B"/>
    <w:rsid w:val="583BB7D7"/>
    <w:rsid w:val="5940EBF0"/>
    <w:rsid w:val="599C6935"/>
    <w:rsid w:val="599ED2D0"/>
    <w:rsid w:val="5A5990CA"/>
    <w:rsid w:val="6053FD23"/>
    <w:rsid w:val="6238178E"/>
    <w:rsid w:val="62F128E2"/>
    <w:rsid w:val="65E6B493"/>
    <w:rsid w:val="65F3AA78"/>
    <w:rsid w:val="677C9867"/>
    <w:rsid w:val="681C6B49"/>
    <w:rsid w:val="68367643"/>
    <w:rsid w:val="698DB5D3"/>
    <w:rsid w:val="6A343170"/>
    <w:rsid w:val="6B1CBFB4"/>
    <w:rsid w:val="6D3AF4F1"/>
    <w:rsid w:val="6E064E42"/>
    <w:rsid w:val="6EB72E45"/>
    <w:rsid w:val="70C47A56"/>
    <w:rsid w:val="7350607B"/>
    <w:rsid w:val="73C18854"/>
    <w:rsid w:val="768DBAFC"/>
    <w:rsid w:val="77662B4C"/>
    <w:rsid w:val="77BF94F2"/>
    <w:rsid w:val="781C9AF2"/>
    <w:rsid w:val="78FA028A"/>
    <w:rsid w:val="792BAA61"/>
    <w:rsid w:val="79EEE842"/>
    <w:rsid w:val="7A4D0B16"/>
    <w:rsid w:val="7A5FF2FB"/>
    <w:rsid w:val="7B9D5633"/>
    <w:rsid w:val="7C6304E9"/>
    <w:rsid w:val="7CEF036A"/>
    <w:rsid w:val="7D021EB1"/>
    <w:rsid w:val="7F2C5AED"/>
    <w:rsid w:val="7F519F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F346B"/>
  <w15:chartTrackingRefBased/>
  <w15:docId w15:val="{08085A1F-3E6B-4A1F-8206-218F3E9A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4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0459"/>
  </w:style>
  <w:style w:type="paragraph" w:styleId="Footer">
    <w:name w:val="footer"/>
    <w:basedOn w:val="Normal"/>
    <w:link w:val="FooterChar"/>
    <w:uiPriority w:val="99"/>
    <w:unhideWhenUsed/>
    <w:rsid w:val="003704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0459"/>
  </w:style>
  <w:style w:type="paragraph" w:customStyle="1" w:styleId="HIFTitre2">
    <w:name w:val="HI_F_Titre2"/>
    <w:link w:val="HIFTitre2Char"/>
    <w:rsid w:val="003C7B47"/>
    <w:pPr>
      <w:keepNext/>
      <w:keepLines/>
      <w:spacing w:before="240" w:after="240" w:line="240" w:lineRule="exact"/>
    </w:pPr>
    <w:rPr>
      <w:rFonts w:ascii="Arial" w:eastAsia="Times New Roman" w:hAnsi="Arial" w:cs="Times New Roman"/>
      <w:b/>
      <w:szCs w:val="20"/>
      <w:lang w:val="en-GB"/>
    </w:rPr>
  </w:style>
  <w:style w:type="paragraph" w:customStyle="1" w:styleId="HIFTitre3">
    <w:name w:val="HI_F_Titre3"/>
    <w:link w:val="HIFTitre3Char"/>
    <w:rsid w:val="003C7B47"/>
    <w:pPr>
      <w:spacing w:after="0" w:line="240" w:lineRule="auto"/>
    </w:pPr>
    <w:rPr>
      <w:rFonts w:ascii="Arial" w:eastAsia="Times New Roman" w:hAnsi="Arial" w:cs="Times New Roman"/>
      <w:b/>
      <w:i/>
      <w:szCs w:val="20"/>
      <w:lang w:val="fr-BE"/>
    </w:rPr>
  </w:style>
  <w:style w:type="character" w:customStyle="1" w:styleId="HIFTitre3Char">
    <w:name w:val="HI_F_Titre3 Char"/>
    <w:basedOn w:val="DefaultParagraphFont"/>
    <w:link w:val="HIFTitre3"/>
    <w:rsid w:val="003C7B47"/>
    <w:rPr>
      <w:rFonts w:ascii="Arial" w:eastAsia="Times New Roman" w:hAnsi="Arial" w:cs="Times New Roman"/>
      <w:b/>
      <w:i/>
      <w:szCs w:val="20"/>
      <w:lang w:val="fr-BE"/>
    </w:rPr>
  </w:style>
  <w:style w:type="character" w:customStyle="1" w:styleId="HIFTitre2Char">
    <w:name w:val="HI_F_Titre2 Char"/>
    <w:basedOn w:val="DefaultParagraphFont"/>
    <w:link w:val="HIFTitre2"/>
    <w:rsid w:val="003C7B47"/>
    <w:rPr>
      <w:rFonts w:ascii="Arial" w:eastAsia="Times New Roman" w:hAnsi="Arial" w:cs="Times New Roman"/>
      <w:b/>
      <w:szCs w:val="20"/>
      <w:lang w:val="en-GB"/>
    </w:rPr>
  </w:style>
  <w:style w:type="paragraph" w:styleId="ListParagraph">
    <w:name w:val="List Paragraph"/>
    <w:basedOn w:val="Normal"/>
    <w:uiPriority w:val="34"/>
    <w:qFormat/>
    <w:rsid w:val="003C7B47"/>
    <w:pPr>
      <w:spacing w:after="240" w:line="240" w:lineRule="auto"/>
      <w:ind w:left="720"/>
      <w:contextualSpacing/>
      <w:jc w:val="both"/>
    </w:pPr>
    <w:rPr>
      <w:rFonts w:ascii="Arial" w:eastAsia="Times New Roman" w:hAnsi="Arial" w:cs="Times New Roman"/>
      <w:sz w:val="20"/>
      <w:szCs w:val="20"/>
      <w:lang w:val="fr-FR"/>
    </w:rPr>
  </w:style>
  <w:style w:type="paragraph" w:styleId="BalloonText">
    <w:name w:val="Balloon Text"/>
    <w:basedOn w:val="Normal"/>
    <w:link w:val="BalloonTextChar"/>
    <w:uiPriority w:val="99"/>
    <w:semiHidden/>
    <w:unhideWhenUsed/>
    <w:rsid w:val="00342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B18"/>
    <w:rPr>
      <w:rFonts w:ascii="Segoe UI" w:hAnsi="Segoe UI" w:cs="Segoe UI"/>
      <w:sz w:val="18"/>
      <w:szCs w:val="18"/>
    </w:rPr>
  </w:style>
  <w:style w:type="paragraph" w:styleId="Revision">
    <w:name w:val="Revision"/>
    <w:hidden/>
    <w:uiPriority w:val="99"/>
    <w:semiHidden/>
    <w:rsid w:val="006E31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gesteld_x0020_door xmlns="2ef4e143-db60-4d28-8197-511be4da30e5">
      <UserInfo>
        <DisplayName/>
        <AccountId xsi:nil="true"/>
        <AccountType/>
      </UserInfo>
    </Opgesteld_x0020_door>
    <beheer xmlns="2ef4e143-db60-4d28-8197-511be4da30e5">
      <UserInfo>
        <DisplayName/>
        <AccountId xsi:nil="true"/>
        <AccountType/>
      </UserInfo>
    </beheer>
    <els xmlns="2ef4e143-db60-4d28-8197-511be4da30e5">true</els>
    <jaartal xmlns="2ef4e143-db60-4d28-8197-511be4da30e5" xsi:nil="true"/>
    <Envoy_x00e9_ xmlns="2ef4e143-db60-4d28-8197-511be4da30e5">Non</Envoy_x00e9_>
    <segment xmlns="2ef4e143-db60-4d28-8197-511be4da30e5" xsi:nil="true"/>
    <_Flow_SignoffStatus xmlns="2ef4e143-db60-4d28-8197-511be4da30e5" xsi:nil="true"/>
    <Team xmlns="2ef4e143-db60-4d28-8197-511be4da30e5" xsi:nil="true"/>
    <Language xmlns="2ef4e143-db60-4d28-8197-511be4da30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2" ma:contentTypeDescription="Create a new document." ma:contentTypeScope="" ma:versionID="9ff58e1a46aad3c274d5e9a958644daf">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69fd879a8c3cb2c10411db8b2baada65"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Sign-off status"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05645-D5F8-423C-84B9-D91BD4BCC9EE}">
  <ds:schemaRefs>
    <ds:schemaRef ds:uri="http://schemas.microsoft.com/office/2006/metadata/properties"/>
    <ds:schemaRef ds:uri="http://schemas.microsoft.com/office/infopath/2007/PartnerControls"/>
    <ds:schemaRef ds:uri="2ef4e143-db60-4d28-8197-511be4da30e5"/>
  </ds:schemaRefs>
</ds:datastoreItem>
</file>

<file path=customXml/itemProps2.xml><?xml version="1.0" encoding="utf-8"?>
<ds:datastoreItem xmlns:ds="http://schemas.openxmlformats.org/officeDocument/2006/customXml" ds:itemID="{36871947-DD91-4A30-A8FF-AEF971DB6A7B}">
  <ds:schemaRefs>
    <ds:schemaRef ds:uri="http://schemas.microsoft.com/sharepoint/v3/contenttype/forms"/>
  </ds:schemaRefs>
</ds:datastoreItem>
</file>

<file path=customXml/itemProps3.xml><?xml version="1.0" encoding="utf-8"?>
<ds:datastoreItem xmlns:ds="http://schemas.openxmlformats.org/officeDocument/2006/customXml" ds:itemID="{8AEEC4F1-D07D-4357-A17E-11FA04F1AAAE}"/>
</file>

<file path=customXml/itemProps4.xml><?xml version="1.0" encoding="utf-8"?>
<ds:datastoreItem xmlns:ds="http://schemas.openxmlformats.org/officeDocument/2006/customXml" ds:itemID="{CB11D5AA-B5F4-4B84-A3CF-82280CBD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Leemans</dc:creator>
  <cp:keywords/>
  <dc:description/>
  <cp:lastModifiedBy>Fabienne Rascar</cp:lastModifiedBy>
  <cp:revision>24</cp:revision>
  <cp:lastPrinted>2017-02-22T13:10:00Z</cp:lastPrinted>
  <dcterms:created xsi:type="dcterms:W3CDTF">2020-06-19T14:11:00Z</dcterms:created>
  <dcterms:modified xsi:type="dcterms:W3CDTF">2020-08-10T10:24:00Z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y fmtid="{D5CDD505-2E9C-101B-9397-08002B2CF9AE}" pid="3" name="Order">
    <vt:r8>100</vt:r8>
  </property>
  <property fmtid="{D5CDD505-2E9C-101B-9397-08002B2CF9AE}" pid="4" name="AuthorIds_UIVersion_512">
    <vt:lpwstr>60</vt:lpwstr>
  </property>
  <property fmtid="{D5CDD505-2E9C-101B-9397-08002B2CF9AE}" pid="5" name="AuthorIds_UIVersion_3584">
    <vt:lpwstr>44</vt:lpwstr>
  </property>
</Properties>
</file>