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E60" w14:textId="0DABA420" w:rsidR="00A734B5" w:rsidRPr="00830F24" w:rsidRDefault="00A734B5" w:rsidP="00A734B5">
      <w:pPr>
        <w:rPr>
          <w:b/>
          <w:sz w:val="28"/>
          <w:szCs w:val="28"/>
        </w:rPr>
      </w:pPr>
      <w:r w:rsidRPr="00A734B5">
        <w:rPr>
          <w:b/>
          <w:sz w:val="28"/>
          <w:szCs w:val="28"/>
        </w:rPr>
        <w:t xml:space="preserve">Vergelijkende tabel: berekening van de bedrijfsvoorheffing voor een </w:t>
      </w:r>
      <w:proofErr w:type="spellStart"/>
      <w:r w:rsidR="00EB18BB">
        <w:rPr>
          <w:b/>
          <w:sz w:val="28"/>
          <w:szCs w:val="28"/>
        </w:rPr>
        <w:t>rijks</w:t>
      </w:r>
      <w:r w:rsidRPr="00A734B5">
        <w:rPr>
          <w:b/>
          <w:sz w:val="28"/>
          <w:szCs w:val="28"/>
        </w:rPr>
        <w:t>in</w:t>
      </w:r>
      <w:r w:rsidR="00EB18BB">
        <w:rPr>
          <w:b/>
          <w:sz w:val="28"/>
          <w:szCs w:val="28"/>
        </w:rPr>
        <w:t>woner</w:t>
      </w:r>
      <w:proofErr w:type="spellEnd"/>
      <w:r w:rsidRPr="00A734B5">
        <w:rPr>
          <w:b/>
          <w:sz w:val="28"/>
          <w:szCs w:val="28"/>
        </w:rPr>
        <w:t xml:space="preserve"> versus een niet-</w:t>
      </w:r>
      <w:proofErr w:type="spellStart"/>
      <w:r w:rsidR="00EB18BB">
        <w:rPr>
          <w:b/>
          <w:sz w:val="28"/>
          <w:szCs w:val="28"/>
        </w:rPr>
        <w:t>rijks</w:t>
      </w:r>
      <w:r w:rsidRPr="00A734B5">
        <w:rPr>
          <w:b/>
          <w:sz w:val="28"/>
          <w:szCs w:val="28"/>
        </w:rPr>
        <w:t>in</w:t>
      </w:r>
      <w:r w:rsidR="00EB18BB">
        <w:rPr>
          <w:b/>
          <w:sz w:val="28"/>
          <w:szCs w:val="28"/>
        </w:rPr>
        <w:t>woner</w:t>
      </w:r>
      <w:proofErr w:type="spellEnd"/>
    </w:p>
    <w:p w14:paraId="6812FC02" w14:textId="77777777" w:rsidR="00A734B5" w:rsidRPr="00662036" w:rsidRDefault="00A734B5" w:rsidP="00A734B5">
      <w:r w:rsidRPr="00662036">
        <w:t>Een Luxemburgse bediende werkt 3 dagen/week voor een werkgever die gevestigd is in Aarlen, met een arbeidsovereenkomst v</w:t>
      </w:r>
      <w:r>
        <w:t xml:space="preserve">an </w:t>
      </w:r>
      <w:r w:rsidRPr="00662036">
        <w:t xml:space="preserve">bepaalde </w:t>
      </w:r>
      <w:r>
        <w:t>duur</w:t>
      </w:r>
      <w:r w:rsidRPr="00662036">
        <w:t xml:space="preserve"> van 6 maanden. Hij is gehuwd (echtgenote heeft beroepsinkomsten) en heeft drie kinderen ten laste. De moeder van de echtgenote is 66 jaar oud en maakt deel uit van het gezin. </w:t>
      </w:r>
      <w:r w:rsidRPr="00CA002D">
        <w:t>Ze</w:t>
      </w:r>
      <w:r w:rsidRPr="002262F7">
        <w:t xml:space="preserve"> is niet </w:t>
      </w:r>
      <w:r>
        <w:t>zorg</w:t>
      </w:r>
      <w:r w:rsidRPr="002262F7">
        <w:t>behoevend, maar de</w:t>
      </w:r>
      <w:r>
        <w:t xml:space="preserve"> werknemer genoot</w:t>
      </w:r>
      <w:r w:rsidRPr="002262F7">
        <w:t xml:space="preserve"> reeds van he</w:t>
      </w:r>
      <w:r>
        <w:t xml:space="preserve">t fiscaal voordeel voor personen ten laste vóór 2022. </w:t>
      </w:r>
      <w:r w:rsidRPr="00662036">
        <w:t xml:space="preserve">De werknemer werkt volgens een deeltijdse arbeidsregeling van 21 uur/week. Hij ontvangt een sociale </w:t>
      </w:r>
      <w:proofErr w:type="spellStart"/>
      <w:r w:rsidRPr="00662036">
        <w:t>brutobezoldiging</w:t>
      </w:r>
      <w:proofErr w:type="spellEnd"/>
      <w:r w:rsidRPr="00662036">
        <w:t xml:space="preserve"> (RSZ) van 1.381,38</w:t>
      </w:r>
      <w:r>
        <w:t xml:space="preserve"> euro</w:t>
      </w:r>
      <w:r w:rsidRPr="00662036">
        <w:t>. Zijn werkgever heeft ingetekend op een groepsverzekering waarvan de persoonlijke bijdrage van de werknemer 60</w:t>
      </w:r>
      <w:r>
        <w:t xml:space="preserve"> euro</w:t>
      </w:r>
      <w:r w:rsidRPr="00662036">
        <w:t xml:space="preserve">/ maand bedraagt. </w:t>
      </w:r>
    </w:p>
    <w:p w14:paraId="3B5ACF57" w14:textId="77777777" w:rsidR="00A734B5" w:rsidRPr="00662036" w:rsidRDefault="00A734B5" w:rsidP="00A734B5">
      <w:r w:rsidRPr="00662036">
        <w:t xml:space="preserve">In </w:t>
      </w:r>
      <w:r>
        <w:t>februari 2016</w:t>
      </w:r>
      <w:r w:rsidRPr="00662036">
        <w:t xml:space="preserve"> presteert hij 10 overuren die tegen 150% worden betaald. Hij is gedomicilieerd en woont in DIEKIRCH (Groothertogdom Luxemburg)</w:t>
      </w:r>
      <w:r>
        <w:t>.</w:t>
      </w:r>
    </w:p>
    <w:p w14:paraId="25D104B0" w14:textId="77777777" w:rsidR="00A734B5" w:rsidRPr="00662036" w:rsidRDefault="00A734B5" w:rsidP="00A734B5">
      <w:r w:rsidRPr="00770B11">
        <w:t>La</w:t>
      </w:r>
      <w:r w:rsidRPr="009078A0">
        <w:t>ten we deze si</w:t>
      </w:r>
      <w:r>
        <w:t xml:space="preserve">tuatie vergelijken met deze van een </w:t>
      </w:r>
      <w:r w:rsidRPr="00662036">
        <w:t xml:space="preserve">bediende </w:t>
      </w:r>
      <w:r>
        <w:t xml:space="preserve">die </w:t>
      </w:r>
      <w:r w:rsidRPr="00662036">
        <w:t xml:space="preserve">in </w:t>
      </w:r>
      <w:r w:rsidRPr="00662036">
        <w:rPr>
          <w:b/>
        </w:rPr>
        <w:t>Aarlen</w:t>
      </w:r>
      <w:r>
        <w:rPr>
          <w:b/>
        </w:rPr>
        <w:t xml:space="preserve"> woont</w:t>
      </w:r>
      <w: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410"/>
      </w:tblGrid>
      <w:tr w:rsidR="00A734B5" w:rsidRPr="004C5610" w14:paraId="34681D51" w14:textId="77777777" w:rsidTr="009078A0">
        <w:tc>
          <w:tcPr>
            <w:tcW w:w="2552" w:type="dxa"/>
            <w:vAlign w:val="center"/>
          </w:tcPr>
          <w:p w14:paraId="5EADA3BC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 xml:space="preserve">Bediende is niet-inwoner </w:t>
            </w:r>
            <w:r>
              <w:rPr>
                <w:b/>
              </w:rPr>
              <w:t xml:space="preserve"> </w:t>
            </w:r>
            <w:r w:rsidRPr="00FD0FB9">
              <w:t>(bedragen in €)</w:t>
            </w:r>
          </w:p>
        </w:tc>
        <w:tc>
          <w:tcPr>
            <w:tcW w:w="4252" w:type="dxa"/>
            <w:vAlign w:val="center"/>
          </w:tcPr>
          <w:p w14:paraId="466F4E4B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71B7BC6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Bediende is inwoner</w:t>
            </w:r>
            <w:r>
              <w:rPr>
                <w:b/>
              </w:rPr>
              <w:t xml:space="preserve"> </w:t>
            </w:r>
            <w:r w:rsidRPr="00FD0FB9">
              <w:t>(bedragen in €)</w:t>
            </w:r>
          </w:p>
        </w:tc>
      </w:tr>
      <w:tr w:rsidR="00A734B5" w:rsidRPr="00662036" w14:paraId="2F1B5409" w14:textId="77777777" w:rsidTr="009078A0">
        <w:tc>
          <w:tcPr>
            <w:tcW w:w="2552" w:type="dxa"/>
            <w:vAlign w:val="center"/>
          </w:tcPr>
          <w:p w14:paraId="193983B8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1.381,38</w:t>
            </w:r>
          </w:p>
        </w:tc>
        <w:tc>
          <w:tcPr>
            <w:tcW w:w="4252" w:type="dxa"/>
            <w:vAlign w:val="center"/>
          </w:tcPr>
          <w:p w14:paraId="4E7EF4C6" w14:textId="77777777" w:rsidR="00A734B5" w:rsidRPr="00662036" w:rsidRDefault="00A734B5" w:rsidP="009078A0">
            <w:pPr>
              <w:spacing w:before="120" w:after="120"/>
              <w:jc w:val="center"/>
            </w:pPr>
            <w:proofErr w:type="spellStart"/>
            <w:r w:rsidRPr="00662036">
              <w:t>Brutomaandbezoldiging</w:t>
            </w:r>
            <w:proofErr w:type="spellEnd"/>
            <w:r w:rsidRPr="00662036">
              <w:t xml:space="preserve"> € 15,18</w:t>
            </w:r>
          </w:p>
        </w:tc>
        <w:tc>
          <w:tcPr>
            <w:tcW w:w="2410" w:type="dxa"/>
            <w:vAlign w:val="center"/>
          </w:tcPr>
          <w:p w14:paraId="77811BFB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1.381,38</w:t>
            </w:r>
          </w:p>
        </w:tc>
      </w:tr>
      <w:tr w:rsidR="00A734B5" w:rsidRPr="00662036" w14:paraId="0F10BECE" w14:textId="77777777" w:rsidTr="009078A0">
        <w:tc>
          <w:tcPr>
            <w:tcW w:w="2552" w:type="dxa"/>
            <w:vAlign w:val="center"/>
          </w:tcPr>
          <w:p w14:paraId="4673ADD1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227,70</w:t>
            </w:r>
          </w:p>
        </w:tc>
        <w:tc>
          <w:tcPr>
            <w:tcW w:w="4252" w:type="dxa"/>
            <w:vAlign w:val="center"/>
          </w:tcPr>
          <w:p w14:paraId="5EE00EE1" w14:textId="77777777" w:rsidR="00A734B5" w:rsidRPr="00662036" w:rsidRDefault="00A734B5" w:rsidP="009078A0">
            <w:pPr>
              <w:spacing w:before="120" w:after="120"/>
              <w:jc w:val="center"/>
            </w:pPr>
            <w:proofErr w:type="spellStart"/>
            <w:r w:rsidRPr="00662036">
              <w:t>Brutobezoldiging</w:t>
            </w:r>
            <w:proofErr w:type="spellEnd"/>
            <w:r w:rsidRPr="00662036">
              <w:t xml:space="preserve"> overuren </w:t>
            </w:r>
          </w:p>
          <w:p w14:paraId="54A7B36A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(10 u à 150%)</w:t>
            </w:r>
          </w:p>
        </w:tc>
        <w:tc>
          <w:tcPr>
            <w:tcW w:w="2410" w:type="dxa"/>
            <w:vAlign w:val="center"/>
          </w:tcPr>
          <w:p w14:paraId="409AD601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227,70</w:t>
            </w:r>
          </w:p>
        </w:tc>
      </w:tr>
      <w:tr w:rsidR="00A734B5" w:rsidRPr="00662036" w14:paraId="1F0D3E1B" w14:textId="77777777" w:rsidTr="009078A0">
        <w:tc>
          <w:tcPr>
            <w:tcW w:w="2552" w:type="dxa"/>
            <w:vAlign w:val="center"/>
          </w:tcPr>
          <w:p w14:paraId="1074A188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1.609,08</w:t>
            </w:r>
          </w:p>
        </w:tc>
        <w:tc>
          <w:tcPr>
            <w:tcW w:w="4252" w:type="dxa"/>
            <w:vAlign w:val="center"/>
          </w:tcPr>
          <w:p w14:paraId="656596D3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rPr>
                <w:b/>
              </w:rPr>
              <w:t xml:space="preserve">Totale </w:t>
            </w:r>
            <w:r w:rsidRPr="00662036">
              <w:t xml:space="preserve">maandelijkse </w:t>
            </w:r>
            <w:proofErr w:type="spellStart"/>
            <w:r w:rsidRPr="00662036">
              <w:t>brutobezoldiging</w:t>
            </w:r>
            <w:proofErr w:type="spellEnd"/>
          </w:p>
        </w:tc>
        <w:tc>
          <w:tcPr>
            <w:tcW w:w="2410" w:type="dxa"/>
            <w:vAlign w:val="center"/>
          </w:tcPr>
          <w:p w14:paraId="0558143E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1.609,08</w:t>
            </w:r>
          </w:p>
        </w:tc>
      </w:tr>
      <w:tr w:rsidR="00A734B5" w:rsidRPr="00662036" w14:paraId="37097183" w14:textId="77777777" w:rsidTr="009078A0">
        <w:tc>
          <w:tcPr>
            <w:tcW w:w="2552" w:type="dxa"/>
            <w:vAlign w:val="center"/>
          </w:tcPr>
          <w:p w14:paraId="5A145265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- 210,31</w:t>
            </w:r>
          </w:p>
        </w:tc>
        <w:tc>
          <w:tcPr>
            <w:tcW w:w="4252" w:type="dxa"/>
            <w:vAlign w:val="center"/>
          </w:tcPr>
          <w:p w14:paraId="58A9DC8F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RSZ (13,07 %)</w:t>
            </w:r>
          </w:p>
        </w:tc>
        <w:tc>
          <w:tcPr>
            <w:tcW w:w="2410" w:type="dxa"/>
            <w:vAlign w:val="center"/>
          </w:tcPr>
          <w:p w14:paraId="077F3B0F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-  210,31</w:t>
            </w:r>
          </w:p>
        </w:tc>
      </w:tr>
      <w:tr w:rsidR="00A734B5" w:rsidRPr="00662036" w14:paraId="2432A753" w14:textId="77777777" w:rsidTr="009078A0">
        <w:tc>
          <w:tcPr>
            <w:tcW w:w="2552" w:type="dxa"/>
            <w:vAlign w:val="center"/>
          </w:tcPr>
          <w:p w14:paraId="005477E0" w14:textId="77777777" w:rsidR="00A734B5" w:rsidRPr="00662036" w:rsidRDefault="00A734B5" w:rsidP="009078A0">
            <w:pPr>
              <w:spacing w:before="120" w:after="120"/>
              <w:jc w:val="center"/>
            </w:pPr>
            <w:r>
              <w:rPr>
                <w:rFonts w:cs="Arial"/>
                <w:szCs w:val="20"/>
              </w:rPr>
              <w:t>205,65</w:t>
            </w:r>
          </w:p>
        </w:tc>
        <w:tc>
          <w:tcPr>
            <w:tcW w:w="4252" w:type="dxa"/>
            <w:vAlign w:val="center"/>
          </w:tcPr>
          <w:p w14:paraId="43877237" w14:textId="77777777" w:rsidR="00A734B5" w:rsidRPr="00662036" w:rsidRDefault="00A734B5" w:rsidP="009078A0">
            <w:pPr>
              <w:spacing w:before="120" w:after="120"/>
              <w:jc w:val="center"/>
            </w:pPr>
            <w:r w:rsidRPr="001A37DA">
              <w:t>Werkbonus</w:t>
            </w:r>
          </w:p>
        </w:tc>
        <w:tc>
          <w:tcPr>
            <w:tcW w:w="2410" w:type="dxa"/>
            <w:vAlign w:val="center"/>
          </w:tcPr>
          <w:p w14:paraId="3E357768" w14:textId="77777777" w:rsidR="00A734B5" w:rsidRPr="00662036" w:rsidRDefault="00A734B5" w:rsidP="009078A0">
            <w:pPr>
              <w:spacing w:before="120" w:after="120"/>
              <w:jc w:val="center"/>
            </w:pPr>
            <w:r>
              <w:rPr>
                <w:rFonts w:cs="Arial"/>
                <w:szCs w:val="20"/>
              </w:rPr>
              <w:t>205,65</w:t>
            </w:r>
          </w:p>
        </w:tc>
      </w:tr>
      <w:tr w:rsidR="00A734B5" w:rsidRPr="00662036" w14:paraId="78128F44" w14:textId="77777777" w:rsidTr="009078A0">
        <w:tc>
          <w:tcPr>
            <w:tcW w:w="2552" w:type="dxa"/>
            <w:vAlign w:val="center"/>
          </w:tcPr>
          <w:p w14:paraId="4649ED20" w14:textId="77777777" w:rsidR="00A734B5" w:rsidRPr="00662036" w:rsidRDefault="00A734B5" w:rsidP="009078A0">
            <w:pPr>
              <w:spacing w:before="120" w:after="120"/>
              <w:jc w:val="center"/>
            </w:pPr>
            <w:r>
              <w:rPr>
                <w:rFonts w:cs="Arial"/>
                <w:szCs w:val="20"/>
              </w:rPr>
              <w:t>1.604,42</w:t>
            </w:r>
          </w:p>
        </w:tc>
        <w:tc>
          <w:tcPr>
            <w:tcW w:w="4252" w:type="dxa"/>
            <w:vAlign w:val="center"/>
          </w:tcPr>
          <w:p w14:paraId="1D1AB387" w14:textId="77777777" w:rsidR="00A734B5" w:rsidRPr="00662036" w:rsidRDefault="00A734B5" w:rsidP="009078A0">
            <w:pPr>
              <w:spacing w:before="120" w:after="120"/>
              <w:jc w:val="center"/>
            </w:pPr>
            <w:r w:rsidRPr="00662036">
              <w:t>Belastbaar bruto-inkomen</w:t>
            </w:r>
          </w:p>
        </w:tc>
        <w:tc>
          <w:tcPr>
            <w:tcW w:w="2410" w:type="dxa"/>
            <w:vAlign w:val="center"/>
          </w:tcPr>
          <w:p w14:paraId="2465FFC9" w14:textId="77777777" w:rsidR="00A734B5" w:rsidRPr="00662036" w:rsidRDefault="00A734B5" w:rsidP="009078A0">
            <w:pPr>
              <w:spacing w:before="120" w:after="120"/>
              <w:jc w:val="center"/>
            </w:pPr>
            <w:r>
              <w:rPr>
                <w:rFonts w:cs="Arial"/>
                <w:szCs w:val="20"/>
              </w:rPr>
              <w:t>1.604,42</w:t>
            </w:r>
          </w:p>
        </w:tc>
      </w:tr>
      <w:tr w:rsidR="00A734B5" w:rsidRPr="00CE3F14" w14:paraId="30BD6EF8" w14:textId="77777777" w:rsidTr="009078A0">
        <w:tc>
          <w:tcPr>
            <w:tcW w:w="2552" w:type="dxa"/>
            <w:vAlign w:val="center"/>
          </w:tcPr>
          <w:p w14:paraId="7B0F2E51" w14:textId="77777777" w:rsidR="00A734B5" w:rsidRPr="00D57408" w:rsidRDefault="00A734B5" w:rsidP="00A734B5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lang w:val="nl-NL"/>
              </w:rPr>
            </w:pPr>
            <w:r>
              <w:rPr>
                <w:rFonts w:cs="Arial"/>
              </w:rPr>
              <w:t>315,73</w:t>
            </w:r>
            <w:r w:rsidDel="00ED06F0">
              <w:rPr>
                <w:rFonts w:cs="Arial"/>
              </w:rPr>
              <w:t xml:space="preserve"> </w:t>
            </w:r>
            <w:r w:rsidRPr="00D57408">
              <w:rPr>
                <w:lang w:val="nl-NL"/>
              </w:rPr>
              <w:t>(schaal III)</w:t>
            </w:r>
          </w:p>
        </w:tc>
        <w:tc>
          <w:tcPr>
            <w:tcW w:w="4252" w:type="dxa"/>
            <w:vAlign w:val="center"/>
          </w:tcPr>
          <w:p w14:paraId="1070DB21" w14:textId="77777777" w:rsidR="00A734B5" w:rsidRPr="00CE3F14" w:rsidRDefault="00A734B5" w:rsidP="009078A0">
            <w:pPr>
              <w:spacing w:before="120" w:after="120"/>
              <w:jc w:val="center"/>
            </w:pPr>
            <w:r w:rsidRPr="0071442D">
              <w:t xml:space="preserve">Basisbedrag van de bedrijfsvoorheffing </w:t>
            </w:r>
          </w:p>
        </w:tc>
        <w:tc>
          <w:tcPr>
            <w:tcW w:w="2410" w:type="dxa"/>
            <w:vAlign w:val="center"/>
          </w:tcPr>
          <w:p w14:paraId="549344A6" w14:textId="77777777" w:rsidR="00A734B5" w:rsidRPr="00CE3F14" w:rsidRDefault="00A734B5" w:rsidP="009078A0">
            <w:pPr>
              <w:spacing w:before="120" w:after="120"/>
              <w:jc w:val="center"/>
            </w:pPr>
            <w:r w:rsidRPr="0071442D">
              <w:t xml:space="preserve">- </w:t>
            </w:r>
            <w:r>
              <w:rPr>
                <w:rFonts w:cs="Arial"/>
                <w:szCs w:val="20"/>
              </w:rPr>
              <w:t>130,49</w:t>
            </w:r>
            <w:r w:rsidDel="00A44B1E">
              <w:rPr>
                <w:rFonts w:cs="Arial"/>
              </w:rPr>
              <w:t xml:space="preserve"> </w:t>
            </w:r>
            <w:r w:rsidRPr="0071442D">
              <w:t>(schaal I)</w:t>
            </w:r>
          </w:p>
        </w:tc>
      </w:tr>
      <w:tr w:rsidR="00A734B5" w:rsidRPr="00662036" w14:paraId="3A555EF7" w14:textId="77777777" w:rsidTr="009078A0">
        <w:tc>
          <w:tcPr>
            <w:tcW w:w="2552" w:type="dxa"/>
            <w:vAlign w:val="center"/>
          </w:tcPr>
          <w:p w14:paraId="6E56F1B0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2036">
              <w:rPr>
                <w:b/>
              </w:rPr>
              <w:t>/</w:t>
            </w:r>
          </w:p>
        </w:tc>
        <w:tc>
          <w:tcPr>
            <w:tcW w:w="4252" w:type="dxa"/>
            <w:vAlign w:val="center"/>
          </w:tcPr>
          <w:p w14:paraId="1882E5BA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Vermindering kinderen ten laste (3)</w:t>
            </w:r>
          </w:p>
        </w:tc>
        <w:tc>
          <w:tcPr>
            <w:tcW w:w="2410" w:type="dxa"/>
            <w:vAlign w:val="center"/>
          </w:tcPr>
          <w:p w14:paraId="70B3BC8D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- </w:t>
            </w:r>
            <w:r>
              <w:rPr>
                <w:rFonts w:cs="Arial"/>
                <w:szCs w:val="20"/>
              </w:rPr>
              <w:t>291,00</w:t>
            </w:r>
          </w:p>
        </w:tc>
      </w:tr>
      <w:tr w:rsidR="00A734B5" w:rsidRPr="00662036" w14:paraId="4295819E" w14:textId="77777777" w:rsidTr="009078A0">
        <w:tc>
          <w:tcPr>
            <w:tcW w:w="2552" w:type="dxa"/>
            <w:vAlign w:val="center"/>
          </w:tcPr>
          <w:p w14:paraId="7828F960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2036">
              <w:rPr>
                <w:b/>
              </w:rPr>
              <w:t>/</w:t>
            </w:r>
          </w:p>
        </w:tc>
        <w:tc>
          <w:tcPr>
            <w:tcW w:w="4252" w:type="dxa"/>
            <w:vAlign w:val="center"/>
          </w:tcPr>
          <w:p w14:paraId="56F3DB4C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Vermindering andere persoon ten laste</w:t>
            </w:r>
          </w:p>
        </w:tc>
        <w:tc>
          <w:tcPr>
            <w:tcW w:w="2410" w:type="dxa"/>
            <w:vAlign w:val="center"/>
          </w:tcPr>
          <w:p w14:paraId="6430E386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>
              <w:t xml:space="preserve">- </w:t>
            </w:r>
            <w:r>
              <w:rPr>
                <w:rFonts w:cs="Arial"/>
              </w:rPr>
              <w:t>84,00</w:t>
            </w:r>
          </w:p>
        </w:tc>
      </w:tr>
      <w:tr w:rsidR="00A734B5" w:rsidRPr="00662036" w14:paraId="38E02EA7" w14:textId="77777777" w:rsidTr="009078A0">
        <w:trPr>
          <w:trHeight w:val="61"/>
        </w:trPr>
        <w:tc>
          <w:tcPr>
            <w:tcW w:w="2552" w:type="dxa"/>
            <w:vAlign w:val="center"/>
          </w:tcPr>
          <w:p w14:paraId="7C9A607D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- </w:t>
            </w:r>
            <w:r>
              <w:t>18</w:t>
            </w:r>
            <w:r w:rsidRPr="00662036">
              <w:t>,00</w:t>
            </w:r>
          </w:p>
        </w:tc>
        <w:tc>
          <w:tcPr>
            <w:tcW w:w="4252" w:type="dxa"/>
            <w:vAlign w:val="center"/>
          </w:tcPr>
          <w:p w14:paraId="4974904C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Vermindering groepsverzekering (30%)</w:t>
            </w:r>
          </w:p>
        </w:tc>
        <w:tc>
          <w:tcPr>
            <w:tcW w:w="2410" w:type="dxa"/>
            <w:vAlign w:val="center"/>
          </w:tcPr>
          <w:p w14:paraId="17D09B3D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-</w:t>
            </w:r>
            <w:r>
              <w:t>18</w:t>
            </w:r>
            <w:r w:rsidRPr="00662036">
              <w:t>,00</w:t>
            </w:r>
          </w:p>
        </w:tc>
      </w:tr>
      <w:tr w:rsidR="00A734B5" w:rsidRPr="00662036" w14:paraId="71F97340" w14:textId="77777777" w:rsidTr="009078A0">
        <w:tc>
          <w:tcPr>
            <w:tcW w:w="2552" w:type="dxa"/>
            <w:vAlign w:val="center"/>
          </w:tcPr>
          <w:p w14:paraId="0B6A9F0D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-87,66</w:t>
            </w:r>
          </w:p>
        </w:tc>
        <w:tc>
          <w:tcPr>
            <w:tcW w:w="4252" w:type="dxa"/>
            <w:vAlign w:val="center"/>
          </w:tcPr>
          <w:p w14:paraId="14647C29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>Vermindering overwerk (57,75% op € 151,80)</w:t>
            </w:r>
          </w:p>
        </w:tc>
        <w:tc>
          <w:tcPr>
            <w:tcW w:w="2410" w:type="dxa"/>
            <w:vAlign w:val="center"/>
          </w:tcPr>
          <w:p w14:paraId="6DFBDA7A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- </w:t>
            </w:r>
            <w:r>
              <w:t>87,66</w:t>
            </w:r>
          </w:p>
        </w:tc>
      </w:tr>
      <w:tr w:rsidR="00A734B5" w:rsidRPr="00662036" w14:paraId="22FAAF9A" w14:textId="77777777" w:rsidTr="009078A0">
        <w:tc>
          <w:tcPr>
            <w:tcW w:w="2552" w:type="dxa"/>
            <w:vAlign w:val="center"/>
          </w:tcPr>
          <w:p w14:paraId="09C7650D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4252" w:type="dxa"/>
            <w:vAlign w:val="center"/>
          </w:tcPr>
          <w:p w14:paraId="417C4E82" w14:textId="77777777" w:rsidR="00A734B5" w:rsidRPr="00662036" w:rsidRDefault="00A734B5" w:rsidP="009078A0">
            <w:pPr>
              <w:spacing w:before="100" w:beforeAutospacing="1" w:after="100" w:afterAutospacing="1"/>
              <w:jc w:val="center"/>
            </w:pPr>
            <w:r w:rsidRPr="001A37DA">
              <w:t>Werkbonus</w:t>
            </w:r>
            <w:r>
              <w:t xml:space="preserve"> (33,14%)</w:t>
            </w:r>
          </w:p>
        </w:tc>
        <w:tc>
          <w:tcPr>
            <w:tcW w:w="2410" w:type="dxa"/>
            <w:vAlign w:val="center"/>
          </w:tcPr>
          <w:p w14:paraId="58DCA033" w14:textId="77777777" w:rsidR="00A734B5" w:rsidRPr="00E974A2" w:rsidRDefault="00A734B5" w:rsidP="009078A0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t xml:space="preserve">- </w:t>
            </w:r>
            <w:r>
              <w:rPr>
                <w:rFonts w:cs="Arial"/>
              </w:rPr>
              <w:t>69,70</w:t>
            </w:r>
          </w:p>
        </w:tc>
      </w:tr>
      <w:tr w:rsidR="00A734B5" w:rsidRPr="00662036" w14:paraId="43E8EA4F" w14:textId="77777777" w:rsidTr="009078A0">
        <w:tc>
          <w:tcPr>
            <w:tcW w:w="2552" w:type="dxa"/>
            <w:vAlign w:val="center"/>
          </w:tcPr>
          <w:p w14:paraId="062F7014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rFonts w:cs="Arial"/>
              </w:rPr>
              <w:t>210,07</w:t>
            </w:r>
          </w:p>
        </w:tc>
        <w:tc>
          <w:tcPr>
            <w:tcW w:w="4252" w:type="dxa"/>
            <w:vAlign w:val="center"/>
          </w:tcPr>
          <w:p w14:paraId="64EB6D87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Verschuldigde bedrijfsvoorheffing</w:t>
            </w:r>
          </w:p>
        </w:tc>
        <w:tc>
          <w:tcPr>
            <w:tcW w:w="2410" w:type="dxa"/>
            <w:vAlign w:val="center"/>
          </w:tcPr>
          <w:p w14:paraId="36D5D213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0,00</w:t>
            </w:r>
          </w:p>
        </w:tc>
      </w:tr>
      <w:tr w:rsidR="00A734B5" w:rsidRPr="00662036" w14:paraId="376C2331" w14:textId="77777777" w:rsidTr="009078A0">
        <w:tc>
          <w:tcPr>
            <w:tcW w:w="2552" w:type="dxa"/>
            <w:vAlign w:val="center"/>
          </w:tcPr>
          <w:p w14:paraId="5971B682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-60,00</w:t>
            </w:r>
          </w:p>
        </w:tc>
        <w:tc>
          <w:tcPr>
            <w:tcW w:w="4252" w:type="dxa"/>
            <w:vAlign w:val="center"/>
          </w:tcPr>
          <w:p w14:paraId="7A7382F2" w14:textId="77777777" w:rsidR="00A734B5" w:rsidRPr="00CE3F14" w:rsidRDefault="00A734B5" w:rsidP="009078A0">
            <w:pPr>
              <w:spacing w:before="120" w:after="120"/>
              <w:jc w:val="center"/>
            </w:pPr>
            <w:r w:rsidRPr="0071442D">
              <w:t>Groepsverzekering</w:t>
            </w:r>
          </w:p>
        </w:tc>
        <w:tc>
          <w:tcPr>
            <w:tcW w:w="2410" w:type="dxa"/>
            <w:vAlign w:val="center"/>
          </w:tcPr>
          <w:p w14:paraId="3C73896E" w14:textId="77777777" w:rsidR="00A734B5" w:rsidRPr="00CE3F14" w:rsidRDefault="00A734B5" w:rsidP="009078A0">
            <w:pPr>
              <w:spacing w:before="120" w:after="120"/>
              <w:jc w:val="center"/>
            </w:pPr>
            <w:r>
              <w:t>-</w:t>
            </w:r>
            <w:r w:rsidRPr="0071442D">
              <w:t>60,00</w:t>
            </w:r>
          </w:p>
        </w:tc>
      </w:tr>
      <w:tr w:rsidR="00A734B5" w:rsidRPr="00662036" w14:paraId="3CDCE464" w14:textId="77777777" w:rsidTr="009078A0">
        <w:tc>
          <w:tcPr>
            <w:tcW w:w="2552" w:type="dxa"/>
            <w:vAlign w:val="center"/>
          </w:tcPr>
          <w:p w14:paraId="4A8EEDA9" w14:textId="77777777" w:rsidR="00A734B5" w:rsidRPr="00662036" w:rsidRDefault="00A734B5" w:rsidP="009078A0">
            <w:pPr>
              <w:spacing w:before="120" w:after="120"/>
              <w:jc w:val="center"/>
              <w:rPr>
                <w:b/>
              </w:rPr>
            </w:pPr>
            <w:r>
              <w:rPr>
                <w:rFonts w:cs="Arial"/>
              </w:rPr>
              <w:t>1.334,35</w:t>
            </w:r>
          </w:p>
        </w:tc>
        <w:tc>
          <w:tcPr>
            <w:tcW w:w="4252" w:type="dxa"/>
            <w:vAlign w:val="center"/>
          </w:tcPr>
          <w:p w14:paraId="68404495" w14:textId="77777777" w:rsidR="00A734B5" w:rsidRPr="00CE3F14" w:rsidRDefault="00A734B5" w:rsidP="009078A0">
            <w:pPr>
              <w:spacing w:before="120" w:after="120"/>
              <w:jc w:val="center"/>
            </w:pPr>
            <w:proofErr w:type="spellStart"/>
            <w:r w:rsidRPr="0071442D">
              <w:t>Nettobezoldiging</w:t>
            </w:r>
            <w:proofErr w:type="spellEnd"/>
          </w:p>
        </w:tc>
        <w:tc>
          <w:tcPr>
            <w:tcW w:w="2410" w:type="dxa"/>
            <w:vAlign w:val="center"/>
          </w:tcPr>
          <w:p w14:paraId="04940051" w14:textId="77777777" w:rsidR="00A734B5" w:rsidRPr="00CE3F14" w:rsidRDefault="00A734B5" w:rsidP="009078A0">
            <w:pPr>
              <w:spacing w:before="120" w:after="120"/>
              <w:jc w:val="center"/>
            </w:pPr>
            <w:r>
              <w:rPr>
                <w:rFonts w:cs="Arial"/>
              </w:rPr>
              <w:t>1.544,42</w:t>
            </w:r>
          </w:p>
        </w:tc>
      </w:tr>
    </w:tbl>
    <w:p w14:paraId="15BE88CA" w14:textId="77777777" w:rsidR="00397B1D" w:rsidRDefault="00397B1D"/>
    <w:sectPr w:rsidR="0039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11BB"/>
    <w:multiLevelType w:val="hybridMultilevel"/>
    <w:tmpl w:val="8F0E6FBC"/>
    <w:lvl w:ilvl="0" w:tplc="540CD6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5"/>
    <w:rsid w:val="00397B1D"/>
    <w:rsid w:val="00A734B5"/>
    <w:rsid w:val="00E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5ADB"/>
  <w15:chartTrackingRefBased/>
  <w15:docId w15:val="{DD05A800-AD83-4F41-B71B-EC88495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B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B5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FE1CB78D-0300-419B-9F93-BF81185362F8}"/>
</file>

<file path=customXml/itemProps2.xml><?xml version="1.0" encoding="utf-8"?>
<ds:datastoreItem xmlns:ds="http://schemas.openxmlformats.org/officeDocument/2006/customXml" ds:itemID="{67A0F41E-B770-431A-8583-6C140487E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C25DC-BD6D-4DA2-8C4F-542D1A8549D2}">
  <ds:schemaRefs>
    <ds:schemaRef ds:uri="2ef4e143-db60-4d28-8197-511be4da30e5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6495139-4532-4e37-8d5e-501e3e8b968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Verdin</dc:creator>
  <cp:keywords/>
  <dc:description/>
  <cp:lastModifiedBy>Séverine Verdin</cp:lastModifiedBy>
  <cp:revision>1</cp:revision>
  <dcterms:created xsi:type="dcterms:W3CDTF">2022-09-13T08:18:00Z</dcterms:created>
  <dcterms:modified xsi:type="dcterms:W3CDTF">2022-09-13T09:24:00Z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