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054CA" w14:textId="7DDE55CA" w:rsidR="00C419B6" w:rsidRPr="00830F24" w:rsidRDefault="00327E3B" w:rsidP="00C419B6">
      <w:pPr>
        <w:rPr>
          <w:b/>
          <w:sz w:val="28"/>
          <w:szCs w:val="28"/>
        </w:rPr>
      </w:pPr>
      <w:r w:rsidRPr="00327E3B">
        <w:rPr>
          <w:b/>
          <w:sz w:val="32"/>
          <w:szCs w:val="32"/>
          <w:u w:val="single"/>
        </w:rPr>
        <w:t>Vergelijkende tabel: berekening van de bedrijfsvoorheffing voor een</w:t>
      </w:r>
      <w:r>
        <w:rPr>
          <w:b/>
          <w:sz w:val="32"/>
          <w:szCs w:val="32"/>
          <w:u w:val="single"/>
        </w:rPr>
        <w:t xml:space="preserve"> </w:t>
      </w:r>
      <w:r w:rsidR="006A4E62">
        <w:rPr>
          <w:b/>
          <w:sz w:val="32"/>
          <w:szCs w:val="32"/>
          <w:u w:val="single"/>
        </w:rPr>
        <w:t>werknemer</w:t>
      </w:r>
      <w:r w:rsidR="009F64AC">
        <w:rPr>
          <w:b/>
          <w:sz w:val="32"/>
          <w:szCs w:val="32"/>
          <w:u w:val="single"/>
        </w:rPr>
        <w:t xml:space="preserve"> </w:t>
      </w:r>
      <w:proofErr w:type="spellStart"/>
      <w:r w:rsidR="009F64AC">
        <w:rPr>
          <w:b/>
          <w:sz w:val="32"/>
          <w:szCs w:val="32"/>
          <w:u w:val="single"/>
        </w:rPr>
        <w:t>vs</w:t>
      </w:r>
      <w:proofErr w:type="spellEnd"/>
      <w:r w:rsidR="009F64AC">
        <w:rPr>
          <w:b/>
          <w:sz w:val="32"/>
          <w:szCs w:val="32"/>
          <w:u w:val="single"/>
        </w:rPr>
        <w:t xml:space="preserve"> een arbeider</w:t>
      </w:r>
    </w:p>
    <w:p w14:paraId="1A319417" w14:textId="77777777" w:rsidR="00C419B6" w:rsidRPr="00662036" w:rsidRDefault="00C419B6" w:rsidP="00C419B6">
      <w:pPr>
        <w:pStyle w:val="HIFTitre3"/>
        <w:rPr>
          <w:lang w:val="nl-NL"/>
        </w:rPr>
      </w:pPr>
      <w:r w:rsidRPr="00662036">
        <w:rPr>
          <w:lang w:val="nl-NL"/>
        </w:rPr>
        <w:t xml:space="preserve">Voorbeeld voor een bediende </w:t>
      </w:r>
    </w:p>
    <w:p w14:paraId="7B0AED80" w14:textId="77777777" w:rsidR="00C419B6" w:rsidRPr="00662036" w:rsidRDefault="00C419B6" w:rsidP="00C419B6">
      <w:r w:rsidRPr="00662036">
        <w:t xml:space="preserve">Een gehuwde bediende (van wie de echtgenote beroepsinkomsten heeft) heeft drie kinderen ten laste. De moeder van de echtgenote is 66 jaar en maakt deel uit van het gezin. </w:t>
      </w:r>
      <w:r w:rsidRPr="00CA002D">
        <w:t>Ze</w:t>
      </w:r>
      <w:r w:rsidRPr="009078A0">
        <w:t xml:space="preserve"> is niet </w:t>
      </w:r>
      <w:r>
        <w:t>zorg</w:t>
      </w:r>
      <w:r w:rsidRPr="009078A0">
        <w:t>behoevend, maar de</w:t>
      </w:r>
      <w:r>
        <w:t xml:space="preserve"> werknemer genoot</w:t>
      </w:r>
      <w:r w:rsidRPr="009078A0">
        <w:t xml:space="preserve"> reeds van he</w:t>
      </w:r>
      <w:r>
        <w:t>t fiscaal voordeel voor personen ten laste vóór 2022.</w:t>
      </w:r>
      <w:r w:rsidRPr="00CA002D">
        <w:t xml:space="preserve"> </w:t>
      </w:r>
      <w:r w:rsidRPr="00662036">
        <w:t>werknemer werkt 38 uur/week. Zijn werkgever heeft ingetekend op een groepsverzekering waarvan de maandelijkse bijdrage van de werknemer 60</w:t>
      </w:r>
      <w:r>
        <w:t xml:space="preserve"> euro</w:t>
      </w:r>
      <w:r w:rsidRPr="00662036">
        <w:t xml:space="preserve"> bedraagt. </w:t>
      </w:r>
      <w:r>
        <w:t xml:space="preserve">Een maandelijks loon van 2.500 euro (een uurloon van </w:t>
      </w:r>
      <w:r w:rsidRPr="0039133F">
        <w:t>15,18</w:t>
      </w:r>
      <w:r>
        <w:t xml:space="preserve"> euro</w:t>
      </w:r>
      <w:r w:rsidRPr="0039133F">
        <w:t xml:space="preserve">/ </w:t>
      </w:r>
      <w:r>
        <w:t>u)</w:t>
      </w:r>
      <w:r w:rsidRPr="0039133F">
        <w:t>.</w:t>
      </w:r>
      <w:r>
        <w:t xml:space="preserve"> </w:t>
      </w:r>
    </w:p>
    <w:p w14:paraId="6D463BB6" w14:textId="77777777" w:rsidR="00C419B6" w:rsidRPr="00662036" w:rsidRDefault="00C419B6" w:rsidP="00C419B6">
      <w:r w:rsidRPr="00662036">
        <w:t xml:space="preserve">In </w:t>
      </w:r>
      <w:r>
        <w:t xml:space="preserve">februari 2022 </w:t>
      </w:r>
      <w:r w:rsidRPr="00662036">
        <w:t xml:space="preserve">presteerde hij 10 overuren die betaald worden tegen 150%. Hij woont in BRAINE-LE-COMTE. </w:t>
      </w:r>
    </w:p>
    <w:p w14:paraId="3A6DAAD5" w14:textId="77777777" w:rsidR="00C419B6" w:rsidRPr="00662036" w:rsidRDefault="00C419B6" w:rsidP="00C419B6">
      <w:pPr>
        <w:pStyle w:val="HIFTitre3"/>
        <w:rPr>
          <w:lang w:val="nl-NL"/>
        </w:rPr>
      </w:pPr>
      <w:r w:rsidRPr="00662036">
        <w:rPr>
          <w:lang w:val="nl-NL"/>
        </w:rPr>
        <w:t xml:space="preserve">Voorbeeld voor een arbeider </w:t>
      </w:r>
    </w:p>
    <w:p w14:paraId="1C3F6EA5" w14:textId="77777777" w:rsidR="00C419B6" w:rsidRPr="00662036" w:rsidRDefault="00C419B6" w:rsidP="00C419B6">
      <w:r w:rsidRPr="00662036">
        <w:t xml:space="preserve">Een gehuwde arbeider (van wie de echtgenote beroepsinkomsten heeft) heeft drie kinderen ten laste. De moeder van de echtgenote is 66 jaar en maakt deel uit van het gezin. </w:t>
      </w:r>
      <w:r w:rsidRPr="00CA002D">
        <w:t>Ze</w:t>
      </w:r>
      <w:r w:rsidRPr="002262F7">
        <w:t xml:space="preserve"> is niet </w:t>
      </w:r>
      <w:r>
        <w:t>zorg</w:t>
      </w:r>
      <w:r w:rsidRPr="002262F7">
        <w:t>behoevend, maar de</w:t>
      </w:r>
      <w:r>
        <w:t xml:space="preserve"> werknemer genoot</w:t>
      </w:r>
      <w:r w:rsidRPr="002262F7">
        <w:t xml:space="preserve"> reeds van he</w:t>
      </w:r>
      <w:r>
        <w:t>t fiscaal voordeel voor personen ten laste vóór 2022.</w:t>
      </w:r>
      <w:r w:rsidRPr="00662036">
        <w:t xml:space="preserve">De werknemer werkt 38 uur/week. </w:t>
      </w:r>
      <w:r>
        <w:t>Zijn uurloon bedraagt 15 euro</w:t>
      </w:r>
      <w:r w:rsidRPr="00721A81">
        <w:t>.</w:t>
      </w:r>
      <w:r w:rsidRPr="00662036">
        <w:t xml:space="preserve"> Zijn werkgever heeft ingetekend op een groepsverzekering waarvan de maandelijkse bijdrage van de werknemer 60</w:t>
      </w:r>
      <w:r>
        <w:t xml:space="preserve"> euro</w:t>
      </w:r>
      <w:r w:rsidRPr="00662036">
        <w:t xml:space="preserve"> bedraagt. </w:t>
      </w:r>
    </w:p>
    <w:p w14:paraId="48846B6F" w14:textId="77777777" w:rsidR="00C419B6" w:rsidRPr="00662036" w:rsidRDefault="00C419B6" w:rsidP="00C419B6">
      <w:r w:rsidRPr="00662036">
        <w:t xml:space="preserve">In </w:t>
      </w:r>
      <w:r>
        <w:t>februari 2022</w:t>
      </w:r>
      <w:r w:rsidRPr="00662036">
        <w:t xml:space="preserve"> presteerde hij 10 overuren die betaald worden tegen 150%. Hij woont in ZELLIK</w:t>
      </w:r>
      <w:r>
        <w:t xml:space="preserve"> (Vlaanderen)</w:t>
      </w:r>
      <w:r w:rsidRPr="00662036">
        <w:t>.</w:t>
      </w:r>
    </w:p>
    <w:p w14:paraId="1B1A63B5" w14:textId="77777777" w:rsidR="00C419B6" w:rsidRPr="00830F24" w:rsidRDefault="00C419B6" w:rsidP="00C419B6">
      <w:pPr>
        <w:pStyle w:val="HIFTitre2"/>
        <w:numPr>
          <w:ilvl w:val="0"/>
          <w:numId w:val="1"/>
        </w:numPr>
        <w:rPr>
          <w:lang w:val="nl-NL"/>
        </w:rPr>
      </w:pPr>
      <w:r w:rsidRPr="00830F24">
        <w:rPr>
          <w:lang w:val="nl-NL"/>
        </w:rPr>
        <w:t xml:space="preserve">Vergelijkende tabel </w:t>
      </w:r>
    </w:p>
    <w:p w14:paraId="5E6FDD2F" w14:textId="77777777" w:rsidR="00C419B6" w:rsidRPr="00662036" w:rsidRDefault="00C419B6" w:rsidP="00C419B6">
      <w:r w:rsidRPr="00662036">
        <w:t xml:space="preserve">Hoeveel bedrijfsvoorheffing zal uiteindelijk worden ingehouden op de bezoldiging van </w:t>
      </w:r>
      <w:r>
        <w:t xml:space="preserve">maart 2016 </w:t>
      </w:r>
      <w:r w:rsidRPr="00662036">
        <w:t>voor elk van deze werknemers?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559"/>
        <w:gridCol w:w="2977"/>
        <w:gridCol w:w="1417"/>
      </w:tblGrid>
      <w:tr w:rsidR="00C419B6" w:rsidRPr="00662036" w14:paraId="5F87A0F4" w14:textId="77777777" w:rsidTr="009078A0">
        <w:trPr>
          <w:trHeight w:val="475"/>
        </w:trPr>
        <w:tc>
          <w:tcPr>
            <w:tcW w:w="3119" w:type="dxa"/>
            <w:vAlign w:val="center"/>
          </w:tcPr>
          <w:p w14:paraId="04854A64" w14:textId="77777777" w:rsidR="00C419B6" w:rsidRPr="00662036" w:rsidRDefault="00C419B6" w:rsidP="009078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662036">
              <w:rPr>
                <w:b/>
                <w:sz w:val="18"/>
                <w:szCs w:val="18"/>
              </w:rPr>
              <w:t>Arbeider</w:t>
            </w:r>
          </w:p>
        </w:tc>
        <w:tc>
          <w:tcPr>
            <w:tcW w:w="1559" w:type="dxa"/>
            <w:vAlign w:val="center"/>
          </w:tcPr>
          <w:p w14:paraId="08838A8A" w14:textId="77777777" w:rsidR="00C419B6" w:rsidRPr="009A7294" w:rsidRDefault="00C419B6" w:rsidP="009078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1442D">
              <w:rPr>
                <w:b/>
                <w:sz w:val="18"/>
                <w:szCs w:val="18"/>
              </w:rPr>
              <w:t>Bedragen in €</w:t>
            </w:r>
          </w:p>
        </w:tc>
        <w:tc>
          <w:tcPr>
            <w:tcW w:w="2977" w:type="dxa"/>
            <w:vAlign w:val="center"/>
          </w:tcPr>
          <w:p w14:paraId="39668A0E" w14:textId="77777777" w:rsidR="00C419B6" w:rsidRPr="00662036" w:rsidRDefault="00C419B6" w:rsidP="009078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662036">
              <w:rPr>
                <w:b/>
                <w:sz w:val="18"/>
                <w:szCs w:val="18"/>
              </w:rPr>
              <w:t>Bediende</w:t>
            </w:r>
          </w:p>
        </w:tc>
        <w:tc>
          <w:tcPr>
            <w:tcW w:w="1417" w:type="dxa"/>
            <w:vAlign w:val="center"/>
          </w:tcPr>
          <w:p w14:paraId="2DCAFE39" w14:textId="77777777" w:rsidR="00C419B6" w:rsidRPr="009A7294" w:rsidRDefault="00C419B6" w:rsidP="009078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1442D">
              <w:rPr>
                <w:b/>
                <w:sz w:val="18"/>
                <w:szCs w:val="18"/>
              </w:rPr>
              <w:t>Bedragen in €</w:t>
            </w:r>
          </w:p>
        </w:tc>
      </w:tr>
      <w:tr w:rsidR="00C419B6" w:rsidRPr="003868F2" w14:paraId="5E4CAC59" w14:textId="77777777" w:rsidTr="009078A0">
        <w:trPr>
          <w:trHeight w:val="629"/>
        </w:trPr>
        <w:tc>
          <w:tcPr>
            <w:tcW w:w="3119" w:type="dxa"/>
            <w:vAlign w:val="center"/>
          </w:tcPr>
          <w:p w14:paraId="71369F15" w14:textId="77777777" w:rsidR="00C419B6" w:rsidRPr="003868F2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 w:rsidRPr="003868F2">
              <w:rPr>
                <w:sz w:val="18"/>
                <w:szCs w:val="18"/>
              </w:rPr>
              <w:t xml:space="preserve">Uurloon </w:t>
            </w:r>
          </w:p>
        </w:tc>
        <w:tc>
          <w:tcPr>
            <w:tcW w:w="1559" w:type="dxa"/>
            <w:vAlign w:val="center"/>
          </w:tcPr>
          <w:p w14:paraId="5781DECA" w14:textId="77777777" w:rsidR="00C419B6" w:rsidRPr="003868F2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 w:rsidRPr="003868F2">
              <w:rPr>
                <w:sz w:val="18"/>
                <w:szCs w:val="18"/>
              </w:rPr>
              <w:t xml:space="preserve">€ </w:t>
            </w:r>
            <w:r>
              <w:rPr>
                <w:sz w:val="18"/>
                <w:szCs w:val="18"/>
              </w:rPr>
              <w:t>15</w:t>
            </w:r>
            <w:r w:rsidRPr="003868F2">
              <w:rPr>
                <w:sz w:val="18"/>
                <w:szCs w:val="18"/>
              </w:rPr>
              <w:t>/u</w:t>
            </w:r>
          </w:p>
        </w:tc>
        <w:tc>
          <w:tcPr>
            <w:tcW w:w="2977" w:type="dxa"/>
            <w:vAlign w:val="center"/>
          </w:tcPr>
          <w:p w14:paraId="2C4CD675" w14:textId="77777777" w:rsidR="00C419B6" w:rsidRPr="003868F2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3868F2">
              <w:rPr>
                <w:sz w:val="18"/>
                <w:szCs w:val="18"/>
              </w:rPr>
              <w:t>Brutomaandbezoldiging</w:t>
            </w:r>
            <w:proofErr w:type="spellEnd"/>
            <w:r w:rsidRPr="003868F2">
              <w:rPr>
                <w:sz w:val="18"/>
                <w:szCs w:val="18"/>
              </w:rPr>
              <w:t xml:space="preserve"> </w:t>
            </w:r>
          </w:p>
          <w:p w14:paraId="1ACC0FA3" w14:textId="77777777" w:rsidR="00C419B6" w:rsidRPr="003868F2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 w:rsidRPr="003868F2">
              <w:rPr>
                <w:sz w:val="18"/>
                <w:szCs w:val="18"/>
              </w:rPr>
              <w:t>(d.i. € 15,18/u)</w:t>
            </w:r>
          </w:p>
        </w:tc>
        <w:tc>
          <w:tcPr>
            <w:tcW w:w="1417" w:type="dxa"/>
            <w:vAlign w:val="center"/>
          </w:tcPr>
          <w:p w14:paraId="21809E7C" w14:textId="77777777" w:rsidR="00C419B6" w:rsidRPr="003868F2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 w:rsidRPr="003868F2">
              <w:rPr>
                <w:sz w:val="18"/>
                <w:szCs w:val="18"/>
              </w:rPr>
              <w:t>2.500</w:t>
            </w:r>
          </w:p>
        </w:tc>
      </w:tr>
      <w:tr w:rsidR="00C419B6" w:rsidRPr="00662036" w14:paraId="6C025AC5" w14:textId="77777777" w:rsidTr="009078A0">
        <w:trPr>
          <w:trHeight w:val="476"/>
        </w:trPr>
        <w:tc>
          <w:tcPr>
            <w:tcW w:w="3119" w:type="dxa"/>
            <w:vAlign w:val="center"/>
          </w:tcPr>
          <w:p w14:paraId="3E7CC01A" w14:textId="77777777" w:rsidR="00C419B6" w:rsidRPr="00662036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 w:rsidRPr="00662036">
              <w:rPr>
                <w:sz w:val="18"/>
                <w:szCs w:val="18"/>
              </w:rPr>
              <w:t xml:space="preserve">Betaalpercentage overuren </w:t>
            </w:r>
            <w:r>
              <w:rPr>
                <w:sz w:val="18"/>
                <w:szCs w:val="18"/>
              </w:rPr>
              <w:br/>
            </w:r>
            <w:r w:rsidRPr="00662036">
              <w:rPr>
                <w:sz w:val="18"/>
                <w:szCs w:val="18"/>
              </w:rPr>
              <w:t>(150%)</w:t>
            </w:r>
          </w:p>
        </w:tc>
        <w:tc>
          <w:tcPr>
            <w:tcW w:w="1559" w:type="dxa"/>
            <w:vAlign w:val="center"/>
          </w:tcPr>
          <w:p w14:paraId="52E28341" w14:textId="77777777" w:rsidR="00C419B6" w:rsidRPr="00662036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6D23E56" w14:textId="77777777" w:rsidR="00C419B6" w:rsidRPr="00662036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 w:rsidRPr="00662036">
              <w:rPr>
                <w:sz w:val="18"/>
                <w:szCs w:val="18"/>
              </w:rPr>
              <w:t xml:space="preserve">Betaalpercentage overuren </w:t>
            </w:r>
            <w:r>
              <w:rPr>
                <w:sz w:val="18"/>
                <w:szCs w:val="18"/>
              </w:rPr>
              <w:br/>
            </w:r>
            <w:r w:rsidRPr="00662036">
              <w:rPr>
                <w:sz w:val="18"/>
                <w:szCs w:val="18"/>
              </w:rPr>
              <w:t>(150%)</w:t>
            </w:r>
          </w:p>
        </w:tc>
        <w:tc>
          <w:tcPr>
            <w:tcW w:w="1417" w:type="dxa"/>
            <w:vAlign w:val="center"/>
          </w:tcPr>
          <w:p w14:paraId="5AAE4E65" w14:textId="77777777" w:rsidR="00C419B6" w:rsidRPr="00662036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419B6" w:rsidRPr="00662036" w14:paraId="4C84BC5C" w14:textId="77777777" w:rsidTr="009078A0">
        <w:trPr>
          <w:trHeight w:val="476"/>
        </w:trPr>
        <w:tc>
          <w:tcPr>
            <w:tcW w:w="3119" w:type="dxa"/>
            <w:vAlign w:val="center"/>
          </w:tcPr>
          <w:p w14:paraId="31612EDA" w14:textId="77777777" w:rsidR="00C419B6" w:rsidRPr="00662036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 w:rsidRPr="00662036">
              <w:rPr>
                <w:sz w:val="18"/>
                <w:szCs w:val="18"/>
              </w:rPr>
              <w:t xml:space="preserve">Aantal gepresteerde uren </w:t>
            </w:r>
          </w:p>
        </w:tc>
        <w:tc>
          <w:tcPr>
            <w:tcW w:w="1559" w:type="dxa"/>
            <w:vAlign w:val="center"/>
          </w:tcPr>
          <w:p w14:paraId="784F41A0" w14:textId="77777777" w:rsidR="00C419B6" w:rsidRPr="00662036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 w:rsidRPr="0066203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662036">
              <w:rPr>
                <w:sz w:val="18"/>
                <w:szCs w:val="18"/>
              </w:rPr>
              <w:t>0</w:t>
            </w:r>
          </w:p>
        </w:tc>
        <w:tc>
          <w:tcPr>
            <w:tcW w:w="2977" w:type="dxa"/>
            <w:vAlign w:val="center"/>
          </w:tcPr>
          <w:p w14:paraId="13958E90" w14:textId="77777777" w:rsidR="00C419B6" w:rsidRPr="00662036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 w:rsidRPr="00662036">
              <w:rPr>
                <w:sz w:val="18"/>
                <w:szCs w:val="18"/>
              </w:rPr>
              <w:t xml:space="preserve">Aantal gepresteerde uren </w:t>
            </w:r>
          </w:p>
        </w:tc>
        <w:tc>
          <w:tcPr>
            <w:tcW w:w="1417" w:type="dxa"/>
            <w:vAlign w:val="center"/>
          </w:tcPr>
          <w:p w14:paraId="6B8AF277" w14:textId="77777777" w:rsidR="00C419B6" w:rsidRPr="00662036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 w:rsidRPr="00662036">
              <w:rPr>
                <w:sz w:val="18"/>
                <w:szCs w:val="18"/>
              </w:rPr>
              <w:t>p.m.</w:t>
            </w:r>
          </w:p>
        </w:tc>
      </w:tr>
      <w:tr w:rsidR="00C419B6" w:rsidRPr="00662036" w14:paraId="7229AA56" w14:textId="77777777" w:rsidTr="009078A0">
        <w:trPr>
          <w:trHeight w:val="530"/>
        </w:trPr>
        <w:tc>
          <w:tcPr>
            <w:tcW w:w="3119" w:type="dxa"/>
            <w:vAlign w:val="center"/>
          </w:tcPr>
          <w:p w14:paraId="1B3AFC73" w14:textId="77777777" w:rsidR="00C419B6" w:rsidRPr="00662036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 w:rsidRPr="00662036">
              <w:rPr>
                <w:sz w:val="18"/>
                <w:szCs w:val="18"/>
              </w:rPr>
              <w:t xml:space="preserve">Sociaal bruto-inkomen </w:t>
            </w:r>
            <w:r>
              <w:rPr>
                <w:sz w:val="18"/>
                <w:szCs w:val="18"/>
              </w:rPr>
              <w:br/>
            </w:r>
            <w:r w:rsidRPr="00662036"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t>6</w:t>
            </w:r>
            <w:r w:rsidRPr="00662036">
              <w:rPr>
                <w:sz w:val="18"/>
                <w:szCs w:val="18"/>
              </w:rPr>
              <w:t>0 x</w:t>
            </w:r>
            <w:r>
              <w:rPr>
                <w:sz w:val="18"/>
                <w:szCs w:val="18"/>
              </w:rPr>
              <w:t>15</w:t>
            </w:r>
            <w:r w:rsidRPr="00662036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14:paraId="40F39840" w14:textId="77777777" w:rsidR="00C419B6" w:rsidRPr="00662036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2.400</w:t>
            </w:r>
          </w:p>
        </w:tc>
        <w:tc>
          <w:tcPr>
            <w:tcW w:w="2977" w:type="dxa"/>
            <w:vAlign w:val="center"/>
          </w:tcPr>
          <w:p w14:paraId="5C24AC3C" w14:textId="77777777" w:rsidR="00C419B6" w:rsidRPr="00662036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 w:rsidRPr="00662036">
              <w:rPr>
                <w:sz w:val="18"/>
                <w:szCs w:val="18"/>
              </w:rPr>
              <w:t>Sociaal bruto-inkomen</w:t>
            </w:r>
          </w:p>
        </w:tc>
        <w:tc>
          <w:tcPr>
            <w:tcW w:w="1417" w:type="dxa"/>
            <w:vAlign w:val="center"/>
          </w:tcPr>
          <w:p w14:paraId="05F06399" w14:textId="77777777" w:rsidR="00C419B6" w:rsidRPr="00662036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 w:rsidRPr="00662036">
              <w:rPr>
                <w:sz w:val="18"/>
                <w:szCs w:val="18"/>
              </w:rPr>
              <w:t>2.500</w:t>
            </w:r>
          </w:p>
        </w:tc>
      </w:tr>
      <w:tr w:rsidR="00C419B6" w:rsidRPr="00B03893" w14:paraId="4ACB2478" w14:textId="77777777" w:rsidTr="009078A0">
        <w:trPr>
          <w:trHeight w:val="572"/>
        </w:trPr>
        <w:tc>
          <w:tcPr>
            <w:tcW w:w="3119" w:type="dxa"/>
            <w:vAlign w:val="center"/>
          </w:tcPr>
          <w:p w14:paraId="4378A991" w14:textId="77777777" w:rsidR="00C419B6" w:rsidRPr="00662036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 w:rsidRPr="00662036">
              <w:rPr>
                <w:sz w:val="18"/>
                <w:szCs w:val="18"/>
              </w:rPr>
              <w:t>Overuren</w:t>
            </w:r>
            <w:r>
              <w:rPr>
                <w:sz w:val="18"/>
                <w:szCs w:val="18"/>
              </w:rPr>
              <w:br/>
            </w:r>
            <w:r w:rsidRPr="00662036">
              <w:rPr>
                <w:sz w:val="18"/>
                <w:szCs w:val="18"/>
              </w:rPr>
              <w:t xml:space="preserve">10 u x </w:t>
            </w:r>
            <w:r>
              <w:rPr>
                <w:sz w:val="18"/>
                <w:szCs w:val="18"/>
              </w:rPr>
              <w:t>15</w:t>
            </w:r>
            <w:r w:rsidRPr="00662036">
              <w:rPr>
                <w:sz w:val="18"/>
                <w:szCs w:val="18"/>
              </w:rPr>
              <w:t xml:space="preserve"> € x 150%</w:t>
            </w:r>
          </w:p>
        </w:tc>
        <w:tc>
          <w:tcPr>
            <w:tcW w:w="1559" w:type="dxa"/>
            <w:vAlign w:val="center"/>
          </w:tcPr>
          <w:p w14:paraId="070DF120" w14:textId="77777777" w:rsidR="00C419B6" w:rsidRPr="00662036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2977" w:type="dxa"/>
            <w:vAlign w:val="center"/>
          </w:tcPr>
          <w:p w14:paraId="3CE81D1C" w14:textId="77777777" w:rsidR="00C419B6" w:rsidRPr="00662036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 w:rsidRPr="00662036">
              <w:rPr>
                <w:sz w:val="18"/>
                <w:szCs w:val="18"/>
              </w:rPr>
              <w:t xml:space="preserve">Overuren </w:t>
            </w:r>
            <w:r>
              <w:rPr>
                <w:sz w:val="18"/>
                <w:szCs w:val="18"/>
              </w:rPr>
              <w:br/>
            </w:r>
            <w:r w:rsidRPr="00923811">
              <w:rPr>
                <w:sz w:val="18"/>
                <w:szCs w:val="18"/>
              </w:rPr>
              <w:t>10 u x2500 x 3 maanden/(38u x 13 weken) 15,18 x 150%</w:t>
            </w:r>
          </w:p>
        </w:tc>
        <w:tc>
          <w:tcPr>
            <w:tcW w:w="1417" w:type="dxa"/>
            <w:vAlign w:val="center"/>
          </w:tcPr>
          <w:p w14:paraId="2FB195C3" w14:textId="77777777" w:rsidR="00C419B6" w:rsidRPr="00662036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 w:rsidRPr="00662036">
              <w:rPr>
                <w:sz w:val="18"/>
                <w:szCs w:val="18"/>
              </w:rPr>
              <w:t>227,70</w:t>
            </w:r>
          </w:p>
        </w:tc>
      </w:tr>
      <w:tr w:rsidR="00C419B6" w:rsidRPr="00662036" w14:paraId="17285ADE" w14:textId="77777777" w:rsidTr="009078A0">
        <w:trPr>
          <w:trHeight w:val="476"/>
        </w:trPr>
        <w:tc>
          <w:tcPr>
            <w:tcW w:w="3119" w:type="dxa"/>
            <w:vAlign w:val="center"/>
          </w:tcPr>
          <w:p w14:paraId="6E42E622" w14:textId="77777777" w:rsidR="00C419B6" w:rsidRPr="00662036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 w:rsidRPr="00662036">
              <w:rPr>
                <w:sz w:val="18"/>
                <w:szCs w:val="18"/>
              </w:rPr>
              <w:t>Totaal (sociaal) bruto-inkomen</w:t>
            </w:r>
          </w:p>
        </w:tc>
        <w:tc>
          <w:tcPr>
            <w:tcW w:w="1559" w:type="dxa"/>
            <w:vAlign w:val="center"/>
          </w:tcPr>
          <w:p w14:paraId="17839EB0" w14:textId="77777777" w:rsidR="00C419B6" w:rsidRPr="00662036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2.625</w:t>
            </w:r>
          </w:p>
        </w:tc>
        <w:tc>
          <w:tcPr>
            <w:tcW w:w="2977" w:type="dxa"/>
            <w:vAlign w:val="center"/>
          </w:tcPr>
          <w:p w14:paraId="2F6B94FD" w14:textId="77777777" w:rsidR="00C419B6" w:rsidRPr="00662036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 w:rsidRPr="00662036">
              <w:rPr>
                <w:sz w:val="18"/>
                <w:szCs w:val="18"/>
              </w:rPr>
              <w:t>Totaal (sociaal) bruto-inkomen</w:t>
            </w:r>
          </w:p>
        </w:tc>
        <w:tc>
          <w:tcPr>
            <w:tcW w:w="1417" w:type="dxa"/>
            <w:vAlign w:val="center"/>
          </w:tcPr>
          <w:p w14:paraId="4D3F7996" w14:textId="77777777" w:rsidR="00C419B6" w:rsidRPr="00662036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 w:rsidRPr="00662036">
              <w:rPr>
                <w:sz w:val="18"/>
                <w:szCs w:val="18"/>
              </w:rPr>
              <w:t>2.727,70</w:t>
            </w:r>
          </w:p>
        </w:tc>
      </w:tr>
      <w:tr w:rsidR="00C419B6" w:rsidRPr="00662036" w14:paraId="0136C4FA" w14:textId="77777777" w:rsidTr="009078A0">
        <w:trPr>
          <w:trHeight w:val="476"/>
        </w:trPr>
        <w:tc>
          <w:tcPr>
            <w:tcW w:w="3119" w:type="dxa"/>
            <w:vAlign w:val="center"/>
          </w:tcPr>
          <w:p w14:paraId="0232B54B" w14:textId="77777777" w:rsidR="00C419B6" w:rsidRPr="00662036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 w:rsidRPr="00662036">
              <w:rPr>
                <w:sz w:val="18"/>
                <w:szCs w:val="18"/>
              </w:rPr>
              <w:t xml:space="preserve">RSZ </w:t>
            </w:r>
            <w:r>
              <w:rPr>
                <w:sz w:val="18"/>
                <w:szCs w:val="18"/>
              </w:rPr>
              <w:br/>
            </w:r>
            <w:r w:rsidRPr="00662036">
              <w:rPr>
                <w:sz w:val="18"/>
                <w:szCs w:val="18"/>
              </w:rPr>
              <w:t xml:space="preserve">(13,07% </w:t>
            </w:r>
            <w:r w:rsidRPr="00662036">
              <w:rPr>
                <w:b/>
                <w:sz w:val="18"/>
                <w:szCs w:val="18"/>
              </w:rPr>
              <w:t>op 108%!)</w:t>
            </w:r>
          </w:p>
        </w:tc>
        <w:tc>
          <w:tcPr>
            <w:tcW w:w="1559" w:type="dxa"/>
            <w:vAlign w:val="center"/>
          </w:tcPr>
          <w:p w14:paraId="6E61AC06" w14:textId="77777777" w:rsidR="00C419B6" w:rsidRPr="00662036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 w:rsidRPr="00662036">
              <w:rPr>
                <w:sz w:val="18"/>
                <w:szCs w:val="18"/>
              </w:rPr>
              <w:t xml:space="preserve">- </w:t>
            </w:r>
            <w:r w:rsidRPr="00436068">
              <w:rPr>
                <w:sz w:val="18"/>
                <w:szCs w:val="18"/>
              </w:rPr>
              <w:t>370,54</w:t>
            </w:r>
          </w:p>
        </w:tc>
        <w:tc>
          <w:tcPr>
            <w:tcW w:w="2977" w:type="dxa"/>
            <w:vAlign w:val="center"/>
          </w:tcPr>
          <w:p w14:paraId="341161B6" w14:textId="77777777" w:rsidR="00C419B6" w:rsidRPr="00662036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 w:rsidRPr="00662036">
              <w:rPr>
                <w:sz w:val="18"/>
                <w:szCs w:val="18"/>
              </w:rPr>
              <w:t xml:space="preserve">RSZ </w:t>
            </w:r>
            <w:r>
              <w:rPr>
                <w:sz w:val="18"/>
                <w:szCs w:val="18"/>
              </w:rPr>
              <w:br/>
            </w:r>
            <w:r w:rsidRPr="00662036">
              <w:rPr>
                <w:sz w:val="18"/>
                <w:szCs w:val="18"/>
              </w:rPr>
              <w:t>(13,07%)</w:t>
            </w:r>
          </w:p>
        </w:tc>
        <w:tc>
          <w:tcPr>
            <w:tcW w:w="1417" w:type="dxa"/>
            <w:vAlign w:val="center"/>
          </w:tcPr>
          <w:p w14:paraId="19DE5385" w14:textId="77777777" w:rsidR="00C419B6" w:rsidRPr="00662036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 w:rsidRPr="00662036">
              <w:rPr>
                <w:sz w:val="18"/>
                <w:szCs w:val="18"/>
              </w:rPr>
              <w:t>- 356,51</w:t>
            </w:r>
          </w:p>
        </w:tc>
      </w:tr>
      <w:tr w:rsidR="00C419B6" w:rsidRPr="00662036" w14:paraId="705C16ED" w14:textId="77777777" w:rsidTr="009078A0">
        <w:trPr>
          <w:trHeight w:val="476"/>
        </w:trPr>
        <w:tc>
          <w:tcPr>
            <w:tcW w:w="3119" w:type="dxa"/>
            <w:vAlign w:val="center"/>
          </w:tcPr>
          <w:p w14:paraId="2D2F4C04" w14:textId="77777777" w:rsidR="00C419B6" w:rsidRPr="00662036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Werkbonus</w:t>
            </w:r>
          </w:p>
        </w:tc>
        <w:tc>
          <w:tcPr>
            <w:tcW w:w="1559" w:type="dxa"/>
            <w:vAlign w:val="center"/>
          </w:tcPr>
          <w:p w14:paraId="0A83FAD7" w14:textId="77777777" w:rsidR="00C419B6" w:rsidRPr="00662036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2977" w:type="dxa"/>
            <w:vAlign w:val="center"/>
          </w:tcPr>
          <w:p w14:paraId="043AD0BB" w14:textId="77777777" w:rsidR="00C419B6" w:rsidRPr="00662036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F663DC2" w14:textId="77777777" w:rsidR="00C419B6" w:rsidRPr="00662036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419B6" w:rsidRPr="00662036" w14:paraId="2ED0D793" w14:textId="77777777" w:rsidTr="009078A0">
        <w:trPr>
          <w:trHeight w:val="476"/>
        </w:trPr>
        <w:tc>
          <w:tcPr>
            <w:tcW w:w="3119" w:type="dxa"/>
            <w:vAlign w:val="center"/>
          </w:tcPr>
          <w:p w14:paraId="17E8635B" w14:textId="77777777" w:rsidR="00C419B6" w:rsidRPr="00662036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 w:rsidRPr="00662036">
              <w:rPr>
                <w:sz w:val="18"/>
                <w:szCs w:val="18"/>
              </w:rPr>
              <w:t>Belastbaar bruto-inkomen</w:t>
            </w:r>
          </w:p>
        </w:tc>
        <w:tc>
          <w:tcPr>
            <w:tcW w:w="1559" w:type="dxa"/>
            <w:vAlign w:val="center"/>
          </w:tcPr>
          <w:p w14:paraId="49386B35" w14:textId="77777777" w:rsidR="00C419B6" w:rsidRPr="00662036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 w:rsidRPr="00923811">
              <w:rPr>
                <w:sz w:val="18"/>
                <w:szCs w:val="18"/>
              </w:rPr>
              <w:t>2.254,49</w:t>
            </w:r>
          </w:p>
        </w:tc>
        <w:tc>
          <w:tcPr>
            <w:tcW w:w="2977" w:type="dxa"/>
            <w:vAlign w:val="center"/>
          </w:tcPr>
          <w:p w14:paraId="14759F3B" w14:textId="77777777" w:rsidR="00C419B6" w:rsidRPr="00662036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 w:rsidRPr="00662036">
              <w:rPr>
                <w:sz w:val="18"/>
                <w:szCs w:val="18"/>
              </w:rPr>
              <w:t>Belastbaar bruto-inkomen</w:t>
            </w:r>
          </w:p>
        </w:tc>
        <w:tc>
          <w:tcPr>
            <w:tcW w:w="1417" w:type="dxa"/>
            <w:vAlign w:val="center"/>
          </w:tcPr>
          <w:p w14:paraId="7F6A5F24" w14:textId="77777777" w:rsidR="00C419B6" w:rsidRPr="00662036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 w:rsidRPr="00662036">
              <w:rPr>
                <w:sz w:val="18"/>
                <w:szCs w:val="18"/>
              </w:rPr>
              <w:t>2.371,19</w:t>
            </w:r>
          </w:p>
        </w:tc>
      </w:tr>
      <w:tr w:rsidR="00C419B6" w:rsidRPr="00662036" w14:paraId="37367765" w14:textId="77777777" w:rsidTr="009078A0">
        <w:trPr>
          <w:trHeight w:val="476"/>
        </w:trPr>
        <w:tc>
          <w:tcPr>
            <w:tcW w:w="3119" w:type="dxa"/>
            <w:vAlign w:val="center"/>
          </w:tcPr>
          <w:p w14:paraId="1CEAE0AC" w14:textId="77777777" w:rsidR="00C419B6" w:rsidRPr="009A7294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 w:rsidRPr="0071442D">
              <w:rPr>
                <w:sz w:val="18"/>
                <w:szCs w:val="18"/>
              </w:rPr>
              <w:t>Basisbedrag van de bedrijfsvoorheffing (schaal I)</w:t>
            </w:r>
          </w:p>
        </w:tc>
        <w:tc>
          <w:tcPr>
            <w:tcW w:w="1559" w:type="dxa"/>
            <w:vAlign w:val="center"/>
          </w:tcPr>
          <w:p w14:paraId="79B9D7C9" w14:textId="77777777" w:rsidR="00C419B6" w:rsidRPr="009A7294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 w:rsidRPr="0071442D">
              <w:rPr>
                <w:sz w:val="18"/>
                <w:szCs w:val="18"/>
              </w:rPr>
              <w:t>(-</w:t>
            </w:r>
            <w:r w:rsidRPr="00923811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19,39</w:t>
            </w:r>
            <w:r w:rsidRPr="0071442D">
              <w:rPr>
                <w:sz w:val="18"/>
                <w:szCs w:val="18"/>
              </w:rPr>
              <w:t>)</w:t>
            </w:r>
          </w:p>
        </w:tc>
        <w:tc>
          <w:tcPr>
            <w:tcW w:w="2977" w:type="dxa"/>
            <w:vAlign w:val="center"/>
          </w:tcPr>
          <w:p w14:paraId="699827CA" w14:textId="77777777" w:rsidR="00C419B6" w:rsidRPr="009A7294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 w:rsidRPr="0071442D">
              <w:rPr>
                <w:sz w:val="18"/>
                <w:szCs w:val="18"/>
              </w:rPr>
              <w:t>Bedrijfsvoorheffing (schaal I)</w:t>
            </w:r>
          </w:p>
        </w:tc>
        <w:tc>
          <w:tcPr>
            <w:tcW w:w="1417" w:type="dxa"/>
            <w:vAlign w:val="center"/>
          </w:tcPr>
          <w:p w14:paraId="0D3B4E45" w14:textId="77777777" w:rsidR="00C419B6" w:rsidRPr="009A7294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 w:rsidRPr="0071442D">
              <w:rPr>
                <w:sz w:val="18"/>
                <w:szCs w:val="18"/>
              </w:rPr>
              <w:t>(-</w:t>
            </w:r>
            <w:r>
              <w:rPr>
                <w:sz w:val="18"/>
                <w:szCs w:val="18"/>
              </w:rPr>
              <w:t>477,17</w:t>
            </w:r>
            <w:r w:rsidRPr="0071442D">
              <w:rPr>
                <w:sz w:val="18"/>
                <w:szCs w:val="18"/>
              </w:rPr>
              <w:t>)</w:t>
            </w:r>
          </w:p>
        </w:tc>
      </w:tr>
      <w:tr w:rsidR="00C419B6" w:rsidRPr="00662036" w14:paraId="14EC0007" w14:textId="77777777" w:rsidTr="009078A0">
        <w:trPr>
          <w:trHeight w:val="476"/>
        </w:trPr>
        <w:tc>
          <w:tcPr>
            <w:tcW w:w="3119" w:type="dxa"/>
            <w:vAlign w:val="center"/>
          </w:tcPr>
          <w:p w14:paraId="3F8F3EB9" w14:textId="77777777" w:rsidR="00C419B6" w:rsidRPr="00662036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 w:rsidRPr="00662036">
              <w:rPr>
                <w:sz w:val="18"/>
                <w:szCs w:val="18"/>
              </w:rPr>
              <w:lastRenderedPageBreak/>
              <w:t>Vermindering kinderen ten laste (3)</w:t>
            </w:r>
          </w:p>
        </w:tc>
        <w:tc>
          <w:tcPr>
            <w:tcW w:w="1559" w:type="dxa"/>
            <w:vAlign w:val="center"/>
          </w:tcPr>
          <w:p w14:paraId="756621A9" w14:textId="77777777" w:rsidR="00C419B6" w:rsidRPr="00662036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 w:rsidRPr="00662036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291,00</w:t>
            </w:r>
          </w:p>
        </w:tc>
        <w:tc>
          <w:tcPr>
            <w:tcW w:w="2977" w:type="dxa"/>
            <w:vAlign w:val="center"/>
          </w:tcPr>
          <w:p w14:paraId="6A264428" w14:textId="77777777" w:rsidR="00C419B6" w:rsidRPr="00662036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 w:rsidRPr="00662036">
              <w:rPr>
                <w:sz w:val="18"/>
                <w:szCs w:val="18"/>
              </w:rPr>
              <w:t>Vermindering kinderen ten laste (3)</w:t>
            </w:r>
          </w:p>
        </w:tc>
        <w:tc>
          <w:tcPr>
            <w:tcW w:w="1417" w:type="dxa"/>
            <w:vAlign w:val="center"/>
          </w:tcPr>
          <w:p w14:paraId="5911A4CC" w14:textId="77777777" w:rsidR="00C419B6" w:rsidRPr="00662036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 w:rsidRPr="00662036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291,00</w:t>
            </w:r>
          </w:p>
        </w:tc>
      </w:tr>
      <w:tr w:rsidR="00C419B6" w:rsidRPr="00662036" w14:paraId="7E5E9FDF" w14:textId="77777777" w:rsidTr="009078A0">
        <w:trPr>
          <w:trHeight w:val="476"/>
        </w:trPr>
        <w:tc>
          <w:tcPr>
            <w:tcW w:w="3119" w:type="dxa"/>
            <w:vAlign w:val="center"/>
          </w:tcPr>
          <w:p w14:paraId="3CC9BED2" w14:textId="77777777" w:rsidR="00C419B6" w:rsidRPr="00662036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 w:rsidRPr="00662036">
              <w:rPr>
                <w:sz w:val="18"/>
                <w:szCs w:val="18"/>
              </w:rPr>
              <w:t>Vermindering ascendant ten laste</w:t>
            </w:r>
          </w:p>
        </w:tc>
        <w:tc>
          <w:tcPr>
            <w:tcW w:w="1559" w:type="dxa"/>
            <w:vAlign w:val="center"/>
          </w:tcPr>
          <w:p w14:paraId="22AA538F" w14:textId="77777777" w:rsidR="00C419B6" w:rsidRPr="00662036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- 84,00</w:t>
            </w:r>
          </w:p>
        </w:tc>
        <w:tc>
          <w:tcPr>
            <w:tcW w:w="2977" w:type="dxa"/>
            <w:vAlign w:val="center"/>
          </w:tcPr>
          <w:p w14:paraId="7B54638C" w14:textId="77777777" w:rsidR="00C419B6" w:rsidRPr="00662036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 w:rsidRPr="00662036">
              <w:rPr>
                <w:sz w:val="18"/>
                <w:szCs w:val="18"/>
              </w:rPr>
              <w:t xml:space="preserve">Vermindering ascendent ten laste  </w:t>
            </w:r>
          </w:p>
        </w:tc>
        <w:tc>
          <w:tcPr>
            <w:tcW w:w="1417" w:type="dxa"/>
            <w:vAlign w:val="center"/>
          </w:tcPr>
          <w:p w14:paraId="6F7BE073" w14:textId="77777777" w:rsidR="00C419B6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- 84,00</w:t>
            </w:r>
          </w:p>
        </w:tc>
      </w:tr>
      <w:tr w:rsidR="00C419B6" w:rsidRPr="00662036" w14:paraId="53CB6F15" w14:textId="77777777" w:rsidTr="009078A0">
        <w:trPr>
          <w:trHeight w:val="476"/>
        </w:trPr>
        <w:tc>
          <w:tcPr>
            <w:tcW w:w="3119" w:type="dxa"/>
            <w:vAlign w:val="center"/>
          </w:tcPr>
          <w:p w14:paraId="0F283735" w14:textId="77777777" w:rsidR="00C419B6" w:rsidRPr="00662036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 w:rsidRPr="00662036">
              <w:rPr>
                <w:sz w:val="18"/>
                <w:szCs w:val="18"/>
              </w:rPr>
              <w:t>Vermindering groepsverzekering (30%)</w:t>
            </w:r>
          </w:p>
        </w:tc>
        <w:tc>
          <w:tcPr>
            <w:tcW w:w="1559" w:type="dxa"/>
            <w:vAlign w:val="center"/>
          </w:tcPr>
          <w:p w14:paraId="14DAB636" w14:textId="77777777" w:rsidR="00C419B6" w:rsidRPr="00662036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 w:rsidRPr="00662036">
              <w:rPr>
                <w:sz w:val="18"/>
                <w:szCs w:val="18"/>
              </w:rPr>
              <w:t>- 18,00</w:t>
            </w:r>
          </w:p>
        </w:tc>
        <w:tc>
          <w:tcPr>
            <w:tcW w:w="2977" w:type="dxa"/>
            <w:vAlign w:val="center"/>
          </w:tcPr>
          <w:p w14:paraId="258CF3CF" w14:textId="77777777" w:rsidR="00C419B6" w:rsidRPr="00662036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 w:rsidRPr="00662036">
              <w:rPr>
                <w:sz w:val="18"/>
                <w:szCs w:val="18"/>
              </w:rPr>
              <w:t>Vermindering groepsverzekering (30%)</w:t>
            </w:r>
          </w:p>
        </w:tc>
        <w:tc>
          <w:tcPr>
            <w:tcW w:w="1417" w:type="dxa"/>
            <w:vAlign w:val="center"/>
          </w:tcPr>
          <w:p w14:paraId="2B721CE6" w14:textId="77777777" w:rsidR="00C419B6" w:rsidRPr="00662036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 w:rsidRPr="00662036">
              <w:rPr>
                <w:sz w:val="18"/>
                <w:szCs w:val="18"/>
              </w:rPr>
              <w:t>- 18,00</w:t>
            </w:r>
          </w:p>
        </w:tc>
      </w:tr>
      <w:tr w:rsidR="00C419B6" w:rsidRPr="00662036" w14:paraId="3C2F4C61" w14:textId="77777777" w:rsidTr="009078A0">
        <w:trPr>
          <w:trHeight w:val="476"/>
        </w:trPr>
        <w:tc>
          <w:tcPr>
            <w:tcW w:w="3119" w:type="dxa"/>
            <w:vAlign w:val="center"/>
          </w:tcPr>
          <w:p w14:paraId="3E715611" w14:textId="77777777" w:rsidR="00C419B6" w:rsidRPr="00662036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 w:rsidRPr="00662036">
              <w:rPr>
                <w:sz w:val="18"/>
                <w:szCs w:val="18"/>
              </w:rPr>
              <w:t xml:space="preserve">Vermindering overwerk </w:t>
            </w:r>
            <w:r>
              <w:rPr>
                <w:sz w:val="18"/>
                <w:szCs w:val="18"/>
              </w:rPr>
              <w:br/>
            </w:r>
            <w:r w:rsidRPr="00662036">
              <w:rPr>
                <w:sz w:val="18"/>
                <w:szCs w:val="18"/>
              </w:rPr>
              <w:t xml:space="preserve">(57,75% op </w:t>
            </w:r>
            <w:r>
              <w:rPr>
                <w:sz w:val="18"/>
                <w:szCs w:val="18"/>
              </w:rPr>
              <w:t xml:space="preserve">10 x11 = € </w:t>
            </w:r>
            <w:r w:rsidRPr="0066203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10</w:t>
            </w:r>
            <w:r w:rsidRPr="00662036">
              <w:rPr>
                <w:sz w:val="18"/>
                <w:szCs w:val="18"/>
              </w:rPr>
              <w:t xml:space="preserve"> )</w:t>
            </w:r>
          </w:p>
        </w:tc>
        <w:tc>
          <w:tcPr>
            <w:tcW w:w="1559" w:type="dxa"/>
            <w:vAlign w:val="center"/>
          </w:tcPr>
          <w:p w14:paraId="1CFF910F" w14:textId="77777777" w:rsidR="00C419B6" w:rsidRPr="00662036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 w:rsidRPr="00662036">
              <w:rPr>
                <w:sz w:val="18"/>
                <w:szCs w:val="18"/>
              </w:rPr>
              <w:t xml:space="preserve">- </w:t>
            </w:r>
            <w:r w:rsidRPr="00BC37CA">
              <w:rPr>
                <w:sz w:val="18"/>
                <w:szCs w:val="18"/>
              </w:rPr>
              <w:t>86,63</w:t>
            </w:r>
          </w:p>
        </w:tc>
        <w:tc>
          <w:tcPr>
            <w:tcW w:w="2977" w:type="dxa"/>
            <w:vAlign w:val="center"/>
          </w:tcPr>
          <w:p w14:paraId="136CBFD9" w14:textId="77777777" w:rsidR="00C419B6" w:rsidRPr="00662036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 w:rsidRPr="00662036">
              <w:rPr>
                <w:sz w:val="18"/>
                <w:szCs w:val="18"/>
              </w:rPr>
              <w:t xml:space="preserve">Vermindering overwerk </w:t>
            </w:r>
            <w:r>
              <w:rPr>
                <w:sz w:val="18"/>
                <w:szCs w:val="18"/>
              </w:rPr>
              <w:br/>
            </w:r>
            <w:r w:rsidRPr="00662036">
              <w:rPr>
                <w:sz w:val="18"/>
                <w:szCs w:val="18"/>
              </w:rPr>
              <w:t>(57,75% op</w:t>
            </w:r>
            <w:r>
              <w:rPr>
                <w:sz w:val="18"/>
                <w:szCs w:val="18"/>
              </w:rPr>
              <w:t xml:space="preserve"> €</w:t>
            </w:r>
            <w:r w:rsidRPr="00662036">
              <w:rPr>
                <w:sz w:val="18"/>
                <w:szCs w:val="18"/>
              </w:rPr>
              <w:t xml:space="preserve"> 151,80)</w:t>
            </w:r>
          </w:p>
        </w:tc>
        <w:tc>
          <w:tcPr>
            <w:tcW w:w="1417" w:type="dxa"/>
            <w:vAlign w:val="center"/>
          </w:tcPr>
          <w:p w14:paraId="4E08A1AD" w14:textId="77777777" w:rsidR="00C419B6" w:rsidRPr="00662036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 w:rsidRPr="00662036">
              <w:rPr>
                <w:sz w:val="18"/>
                <w:szCs w:val="18"/>
              </w:rPr>
              <w:t>- 87,66</w:t>
            </w:r>
          </w:p>
        </w:tc>
      </w:tr>
      <w:tr w:rsidR="00C419B6" w:rsidRPr="00B03893" w14:paraId="390F99FB" w14:textId="77777777" w:rsidTr="009078A0">
        <w:trPr>
          <w:trHeight w:val="476"/>
        </w:trPr>
        <w:tc>
          <w:tcPr>
            <w:tcW w:w="3119" w:type="dxa"/>
            <w:vAlign w:val="center"/>
          </w:tcPr>
          <w:p w14:paraId="7D91F99B" w14:textId="77777777" w:rsidR="00C419B6" w:rsidRPr="00662036" w:rsidRDefault="00C419B6" w:rsidP="009078A0">
            <w:pPr>
              <w:spacing w:after="0"/>
              <w:rPr>
                <w:sz w:val="18"/>
                <w:szCs w:val="18"/>
              </w:rPr>
            </w:pPr>
            <w:r w:rsidRPr="00662036">
              <w:rPr>
                <w:sz w:val="18"/>
                <w:szCs w:val="18"/>
              </w:rPr>
              <w:t xml:space="preserve">Vermindering </w:t>
            </w:r>
            <w:r>
              <w:rPr>
                <w:sz w:val="18"/>
                <w:szCs w:val="18"/>
              </w:rPr>
              <w:t>op de werkbonus</w:t>
            </w:r>
            <w:r>
              <w:rPr>
                <w:sz w:val="18"/>
                <w:szCs w:val="18"/>
              </w:rPr>
              <w:br/>
              <w:t>33.14%</w:t>
            </w:r>
          </w:p>
        </w:tc>
        <w:tc>
          <w:tcPr>
            <w:tcW w:w="1559" w:type="dxa"/>
            <w:vAlign w:val="center"/>
          </w:tcPr>
          <w:p w14:paraId="64219D60" w14:textId="77777777" w:rsidR="00C419B6" w:rsidRPr="00662036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 w:rsidRPr="00662036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977" w:type="dxa"/>
            <w:vAlign w:val="center"/>
          </w:tcPr>
          <w:p w14:paraId="789F65A1" w14:textId="77777777" w:rsidR="00C419B6" w:rsidRPr="00662036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60AD810" w14:textId="77777777" w:rsidR="00C419B6" w:rsidRPr="00662036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419B6" w:rsidRPr="00B03893" w14:paraId="781A1FA8" w14:textId="77777777" w:rsidTr="009078A0">
        <w:trPr>
          <w:trHeight w:val="476"/>
        </w:trPr>
        <w:tc>
          <w:tcPr>
            <w:tcW w:w="3119" w:type="dxa"/>
            <w:vAlign w:val="center"/>
          </w:tcPr>
          <w:p w14:paraId="2693068E" w14:textId="77777777" w:rsidR="00C419B6" w:rsidRPr="00B7502E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 w:rsidRPr="00570D88">
              <w:rPr>
                <w:sz w:val="18"/>
                <w:szCs w:val="18"/>
              </w:rPr>
              <w:t>Verschuldigde bedrijfsvoorheffing</w:t>
            </w:r>
          </w:p>
        </w:tc>
        <w:tc>
          <w:tcPr>
            <w:tcW w:w="1559" w:type="dxa"/>
            <w:vAlign w:val="center"/>
          </w:tcPr>
          <w:p w14:paraId="716F3D4A" w14:textId="77777777" w:rsidR="00C419B6" w:rsidRPr="00B7502E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 w:rsidRPr="00570D88">
              <w:rPr>
                <w:sz w:val="18"/>
                <w:szCs w:val="18"/>
              </w:rPr>
              <w:t>0</w:t>
            </w:r>
          </w:p>
        </w:tc>
        <w:tc>
          <w:tcPr>
            <w:tcW w:w="2977" w:type="dxa"/>
            <w:vAlign w:val="center"/>
          </w:tcPr>
          <w:p w14:paraId="538F3991" w14:textId="77777777" w:rsidR="00C419B6" w:rsidRPr="00B7502E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 w:rsidRPr="00570D88">
              <w:rPr>
                <w:sz w:val="18"/>
                <w:szCs w:val="18"/>
              </w:rPr>
              <w:t>Verschuldigde bedrijfsvoorheffing</w:t>
            </w:r>
          </w:p>
        </w:tc>
        <w:tc>
          <w:tcPr>
            <w:tcW w:w="1417" w:type="dxa"/>
            <w:vAlign w:val="center"/>
          </w:tcPr>
          <w:p w14:paraId="38A048EB" w14:textId="77777777" w:rsidR="00C419B6" w:rsidRPr="00B7502E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 w:rsidRPr="00570D88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3,49</w:t>
            </w:r>
          </w:p>
        </w:tc>
      </w:tr>
      <w:tr w:rsidR="00C419B6" w:rsidRPr="00662036" w14:paraId="09EC4118" w14:textId="77777777" w:rsidTr="009078A0">
        <w:trPr>
          <w:trHeight w:val="476"/>
        </w:trPr>
        <w:tc>
          <w:tcPr>
            <w:tcW w:w="3119" w:type="dxa"/>
            <w:vAlign w:val="center"/>
          </w:tcPr>
          <w:p w14:paraId="1D3D6A64" w14:textId="77777777" w:rsidR="00C419B6" w:rsidRPr="00B7502E" w:rsidRDefault="00C419B6" w:rsidP="009078A0">
            <w:pPr>
              <w:spacing w:after="0"/>
              <w:jc w:val="center"/>
              <w:rPr>
                <w:sz w:val="18"/>
                <w:szCs w:val="18"/>
                <w:u w:val="single"/>
              </w:rPr>
            </w:pPr>
            <w:proofErr w:type="spellStart"/>
            <w:r w:rsidRPr="00570D88">
              <w:rPr>
                <w:sz w:val="18"/>
                <w:szCs w:val="18"/>
                <w:u w:val="single"/>
              </w:rPr>
              <w:t>Nettomaandbezoldiging</w:t>
            </w:r>
            <w:proofErr w:type="spellEnd"/>
          </w:p>
        </w:tc>
        <w:tc>
          <w:tcPr>
            <w:tcW w:w="1559" w:type="dxa"/>
            <w:vAlign w:val="center"/>
          </w:tcPr>
          <w:p w14:paraId="582749A1" w14:textId="77777777" w:rsidR="00C419B6" w:rsidRPr="00B7502E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 w:rsidRPr="00923811">
              <w:rPr>
                <w:sz w:val="18"/>
                <w:szCs w:val="18"/>
              </w:rPr>
              <w:t>2.254,49</w:t>
            </w:r>
          </w:p>
        </w:tc>
        <w:tc>
          <w:tcPr>
            <w:tcW w:w="2977" w:type="dxa"/>
            <w:vAlign w:val="center"/>
          </w:tcPr>
          <w:p w14:paraId="76409461" w14:textId="77777777" w:rsidR="00C419B6" w:rsidRPr="00B7502E" w:rsidRDefault="00C419B6" w:rsidP="009078A0">
            <w:pPr>
              <w:spacing w:after="0"/>
              <w:jc w:val="center"/>
              <w:rPr>
                <w:sz w:val="18"/>
                <w:szCs w:val="18"/>
                <w:u w:val="single"/>
              </w:rPr>
            </w:pPr>
            <w:proofErr w:type="spellStart"/>
            <w:r w:rsidRPr="00570D88">
              <w:rPr>
                <w:sz w:val="18"/>
                <w:szCs w:val="18"/>
                <w:u w:val="single"/>
              </w:rPr>
              <w:t>Nettomaandbezoldiging</w:t>
            </w:r>
            <w:proofErr w:type="spellEnd"/>
          </w:p>
        </w:tc>
        <w:tc>
          <w:tcPr>
            <w:tcW w:w="1417" w:type="dxa"/>
            <w:vAlign w:val="center"/>
          </w:tcPr>
          <w:p w14:paraId="268946D9" w14:textId="77777777" w:rsidR="00C419B6" w:rsidRPr="00923811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  <w:r w:rsidRPr="00923811">
              <w:rPr>
                <w:sz w:val="18"/>
                <w:szCs w:val="18"/>
              </w:rPr>
              <w:t>2.3</w:t>
            </w:r>
            <w:r>
              <w:rPr>
                <w:sz w:val="18"/>
                <w:szCs w:val="18"/>
              </w:rPr>
              <w:t>67,70</w:t>
            </w:r>
          </w:p>
          <w:p w14:paraId="7B6FC52D" w14:textId="77777777" w:rsidR="00C419B6" w:rsidRPr="00B7502E" w:rsidRDefault="00C419B6" w:rsidP="009078A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14:paraId="323F79DF" w14:textId="77777777" w:rsidR="00397B1D" w:rsidRDefault="00397B1D"/>
    <w:sectPr w:rsidR="00397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70D9D"/>
    <w:multiLevelType w:val="hybridMultilevel"/>
    <w:tmpl w:val="ED22F9D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B6"/>
    <w:rsid w:val="00327E3B"/>
    <w:rsid w:val="00397B1D"/>
    <w:rsid w:val="006A4E62"/>
    <w:rsid w:val="009F64AC"/>
    <w:rsid w:val="00C4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931CF"/>
  <w15:chartTrackingRefBased/>
  <w15:docId w15:val="{88C20320-CC38-4327-9C0C-5A2C055C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9B6"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FTitre2">
    <w:name w:val="HI_F_Titre2"/>
    <w:link w:val="HIFTitre2Char"/>
    <w:rsid w:val="00C419B6"/>
    <w:pPr>
      <w:keepNext/>
      <w:keepLines/>
      <w:spacing w:before="240" w:after="240" w:line="240" w:lineRule="exact"/>
    </w:pPr>
    <w:rPr>
      <w:rFonts w:ascii="Arial" w:eastAsia="Times New Roman" w:hAnsi="Arial" w:cs="Times New Roman"/>
      <w:b/>
      <w:szCs w:val="20"/>
      <w:lang w:val="en-GB"/>
    </w:rPr>
  </w:style>
  <w:style w:type="paragraph" w:customStyle="1" w:styleId="HIFTitre3">
    <w:name w:val="HI_F_Titre3"/>
    <w:link w:val="HIFTitre3Char"/>
    <w:rsid w:val="00C419B6"/>
    <w:pPr>
      <w:spacing w:after="0" w:line="240" w:lineRule="auto"/>
    </w:pPr>
    <w:rPr>
      <w:rFonts w:ascii="Arial" w:eastAsia="Times New Roman" w:hAnsi="Arial" w:cs="Times New Roman"/>
      <w:b/>
      <w:i/>
      <w:szCs w:val="20"/>
      <w:lang w:val="fr-BE"/>
    </w:rPr>
  </w:style>
  <w:style w:type="character" w:customStyle="1" w:styleId="HIFTitre3Char">
    <w:name w:val="HI_F_Titre3 Char"/>
    <w:basedOn w:val="DefaultParagraphFont"/>
    <w:link w:val="HIFTitre3"/>
    <w:rsid w:val="00C419B6"/>
    <w:rPr>
      <w:rFonts w:ascii="Arial" w:eastAsia="Times New Roman" w:hAnsi="Arial" w:cs="Times New Roman"/>
      <w:b/>
      <w:i/>
      <w:szCs w:val="20"/>
      <w:lang w:val="fr-BE"/>
    </w:rPr>
  </w:style>
  <w:style w:type="character" w:customStyle="1" w:styleId="HIFTitre2Char">
    <w:name w:val="HI_F_Titre2 Char"/>
    <w:basedOn w:val="DefaultParagraphFont"/>
    <w:link w:val="HIFTitre2"/>
    <w:rsid w:val="00C419B6"/>
    <w:rPr>
      <w:rFonts w:ascii="Arial" w:eastAsia="Times New Roman" w:hAnsi="Arial" w:cs="Times New Roman"/>
      <w:b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F5018C5AAAF4098D458FEAE2B280F" ma:contentTypeVersion="22" ma:contentTypeDescription="Crée un document." ma:contentTypeScope="" ma:versionID="ef09cb68040a42c170f285f17b9db692">
  <xsd:schema xmlns:xsd="http://www.w3.org/2001/XMLSchema" xmlns:xs="http://www.w3.org/2001/XMLSchema" xmlns:p="http://schemas.microsoft.com/office/2006/metadata/properties" xmlns:ns2="2ef4e143-db60-4d28-8197-511be4da30e5" xmlns:ns3="56495139-4532-4e37-8d5e-501e3e8b9687" targetNamespace="http://schemas.microsoft.com/office/2006/metadata/properties" ma:root="true" ma:fieldsID="a80596a377ed8dd78c6ac71289a0d905" ns2:_="" ns3:_="">
    <xsd:import namespace="2ef4e143-db60-4d28-8197-511be4da30e5"/>
    <xsd:import namespace="56495139-4532-4e37-8d5e-501e3e8b96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Opgesteld_x0020_door" minOccurs="0"/>
                <xsd:element ref="ns2:beheer" minOccurs="0"/>
                <xsd:element ref="ns2:Envoy_x00e9_" minOccurs="0"/>
                <xsd:element ref="ns2:jaartal" minOccurs="0"/>
                <xsd:element ref="ns2:els" minOccurs="0"/>
                <xsd:element ref="ns2:segment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anguage" minOccurs="0"/>
                <xsd:element ref="ns2:Team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4e143-db60-4d28-8197-511be4da3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Opgesteld_x0020_door" ma:index="16" nillable="true" ma:displayName="Opgesteld door" ma:format="Dropdown" ma:list="UserInfo" ma:SharePointGroup="0" ma:internalName="Opgesteld_x0020_do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eheer" ma:index="17" nillable="true" ma:displayName="beheer" ma:format="Dropdown" ma:list="UserInfo" ma:SharePointGroup="0" ma:internalName="behe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nvoy_x00e9_" ma:index="18" nillable="true" ma:displayName="Envoyé" ma:default="Non" ma:format="Dropdown" ma:indexed="true" ma:internalName="Envoy_x00e9_">
      <xsd:simpleType>
        <xsd:restriction base="dms:Choice">
          <xsd:enumeration value="Oui"/>
          <xsd:enumeration value="Non"/>
          <xsd:enumeration value="Je ne sais pas"/>
        </xsd:restriction>
      </xsd:simpleType>
    </xsd:element>
    <xsd:element name="jaartal" ma:index="19" nillable="true" ma:displayName="jaartal" ma:format="Dropdown" ma:internalName="jaartal" ma:percentage="FALSE">
      <xsd:simpleType>
        <xsd:restriction base="dms:Number"/>
      </xsd:simpleType>
    </xsd:element>
    <xsd:element name="els" ma:index="20" nillable="true" ma:displayName="els" ma:default="1" ma:description="2018" ma:format="Dropdown" ma:internalName="els">
      <xsd:simpleType>
        <xsd:restriction base="dms:Boolean"/>
      </xsd:simpleType>
    </xsd:element>
    <xsd:element name="segment" ma:index="21" nillable="true" ma:displayName="segment" ma:format="Dropdown" ma:internalName="segment">
      <xsd:simpleType>
        <xsd:restriction base="dms:Choice">
          <xsd:enumeration value="SIM"/>
          <xsd:enumeration value="Entrepreneurs"/>
        </xsd:restriction>
      </xsd:simpleType>
    </xsd:element>
    <xsd:element name="_Flow_SignoffStatus" ma:index="22" nillable="true" ma:displayName="État de validation" ma:internalName="_x0024_Resources_x003a_core_x002c_Signoff_Status_x003b_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anguage" ma:index="27" nillable="true" ma:displayName="Language" ma:format="Dropdown" ma:internalName="Language">
      <xsd:simpleType>
        <xsd:restriction base="dms:Choice">
          <xsd:enumeration value="NL"/>
          <xsd:enumeration value="FR"/>
        </xsd:restriction>
      </xsd:simpleType>
    </xsd:element>
    <xsd:element name="Team" ma:index="28" nillable="true" ma:displayName="Team" ma:format="Dropdown" ma:internalName="Team">
      <xsd:simpleType>
        <xsd:restriction base="dms:Choice">
          <xsd:enumeration value="SOC"/>
          <xsd:enumeration value="FIS"/>
          <xsd:enumeration value="SEC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95139-4532-4e37-8d5e-501e3e8b96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gesteld_x0020_door xmlns="2ef4e143-db60-4d28-8197-511be4da30e5">
      <UserInfo>
        <DisplayName/>
        <AccountId xsi:nil="true"/>
        <AccountType/>
      </UserInfo>
    </Opgesteld_x0020_door>
    <beheer xmlns="2ef4e143-db60-4d28-8197-511be4da30e5">
      <UserInfo>
        <DisplayName/>
        <AccountId xsi:nil="true"/>
        <AccountType/>
      </UserInfo>
    </beheer>
    <els xmlns="2ef4e143-db60-4d28-8197-511be4da30e5">true</els>
    <_Flow_SignoffStatus xmlns="2ef4e143-db60-4d28-8197-511be4da30e5" xsi:nil="true"/>
    <Team xmlns="2ef4e143-db60-4d28-8197-511be4da30e5" xsi:nil="true"/>
    <Language xmlns="2ef4e143-db60-4d28-8197-511be4da30e5" xsi:nil="true"/>
    <jaartal xmlns="2ef4e143-db60-4d28-8197-511be4da30e5" xsi:nil="true"/>
    <Envoy_x00e9_ xmlns="2ef4e143-db60-4d28-8197-511be4da30e5">Non</Envoy_x00e9_>
    <segment xmlns="2ef4e143-db60-4d28-8197-511be4da30e5" xsi:nil="true"/>
  </documentManagement>
</p:properties>
</file>

<file path=customXml/itemProps1.xml><?xml version="1.0" encoding="utf-8"?>
<ds:datastoreItem xmlns:ds="http://schemas.openxmlformats.org/officeDocument/2006/customXml" ds:itemID="{A31004D9-8BAC-4227-8A97-16AB69985318}"/>
</file>

<file path=customXml/itemProps2.xml><?xml version="1.0" encoding="utf-8"?>
<ds:datastoreItem xmlns:ds="http://schemas.openxmlformats.org/officeDocument/2006/customXml" ds:itemID="{BD40C694-ED85-4CCB-9897-912B515303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9915EE-F0C6-4A9F-80E1-23176F6BEC0B}">
  <ds:schemaRefs>
    <ds:schemaRef ds:uri="2ef4e143-db60-4d28-8197-511be4da30e5"/>
    <ds:schemaRef ds:uri="http://schemas.microsoft.com/office/2006/documentManagement/types"/>
    <ds:schemaRef ds:uri="56495139-4532-4e37-8d5e-501e3e8b9687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Verdin</dc:creator>
  <cp:keywords/>
  <dc:description/>
  <cp:lastModifiedBy>Séverine Verdin</cp:lastModifiedBy>
  <cp:revision>1</cp:revision>
  <cp:lastPrinted>2022-09-13T09:17:00Z</cp:lastPrinted>
  <dcterms:created xsi:type="dcterms:W3CDTF">2022-09-13T07:52:00Z</dcterms:created>
  <dcterms:modified xsi:type="dcterms:W3CDTF">2022-09-13T09:23:00Z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0x0101000ADF5018C5AAAF4098D458FEAE2B280F</vt:lpwstr>
  </property>
</Properties>
</file>